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8DF9B" w14:textId="171CAC44" w:rsidR="00930483" w:rsidRPr="00FA3BBF" w:rsidRDefault="00930483" w:rsidP="00930483">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hAnsi="Arial" w:cs="Times New Roman" w:hint="eastAsia"/>
          <w:b/>
          <w:sz w:val="24"/>
          <w:szCs w:val="20"/>
          <w:lang w:val="en-US" w:eastAsia="ja-JP"/>
        </w:rPr>
        <w:t>3</w:t>
      </w:r>
      <w:r w:rsidRPr="00614DD8">
        <w:rPr>
          <w:rFonts w:ascii="Arial" w:eastAsia="SimSun" w:hAnsi="Arial" w:cs="Times New Roman"/>
          <w:b/>
          <w:bCs/>
          <w:sz w:val="24"/>
          <w:szCs w:val="20"/>
          <w:lang w:val="en-US"/>
        </w:rPr>
        <w:tab/>
      </w:r>
      <w:r w:rsidR="00F02FBB" w:rsidRPr="00F02FBB">
        <w:rPr>
          <w:rFonts w:ascii="Arial" w:eastAsia="SimSun" w:hAnsi="Arial" w:cs="Times New Roman"/>
          <w:b/>
          <w:bCs/>
          <w:sz w:val="24"/>
          <w:szCs w:val="20"/>
          <w:lang w:val="en-US"/>
        </w:rPr>
        <w:t>R4-2418258</w:t>
      </w:r>
    </w:p>
    <w:p w14:paraId="4CF74527" w14:textId="77777777" w:rsidR="00930483" w:rsidRPr="00614DD8" w:rsidRDefault="00930483" w:rsidP="009304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Orlando</w:t>
      </w:r>
      <w:r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USA</w:t>
      </w:r>
      <w:r w:rsidRPr="00614DD8">
        <w:rPr>
          <w:rFonts w:ascii="Arial" w:eastAsia="SimSun" w:hAnsi="Arial" w:cs="Times New Roman"/>
          <w:b/>
          <w:sz w:val="24"/>
          <w:szCs w:val="20"/>
          <w:lang w:val="en-US"/>
        </w:rPr>
        <w:t xml:space="preserve">, </w:t>
      </w:r>
      <w:r w:rsidRPr="006F5650">
        <w:rPr>
          <w:rFonts w:ascii="Arial" w:hAnsi="Arial" w:cs="Times New Roman"/>
          <w:b/>
          <w:sz w:val="24"/>
          <w:szCs w:val="20"/>
          <w:lang w:val="en-US" w:eastAsia="ja-JP"/>
        </w:rPr>
        <w:t>18</w:t>
      </w:r>
      <w:r w:rsidRPr="006F5650">
        <w:rPr>
          <w:rFonts w:ascii="Arial" w:hAnsi="Arial" w:cs="Times New Roman"/>
          <w:b/>
          <w:sz w:val="24"/>
          <w:szCs w:val="20"/>
          <w:vertAlign w:val="superscript"/>
          <w:lang w:val="en-US" w:eastAsia="ja-JP"/>
        </w:rPr>
        <w:t>th</w:t>
      </w:r>
      <w:r w:rsidRPr="006F5650">
        <w:rPr>
          <w:rFonts w:ascii="Arial" w:hAnsi="Arial" w:cs="Times New Roman"/>
          <w:b/>
          <w:sz w:val="24"/>
          <w:szCs w:val="20"/>
          <w:lang w:val="en-US" w:eastAsia="ja-JP"/>
        </w:rPr>
        <w:t xml:space="preserve"> – 22</w:t>
      </w:r>
      <w:r w:rsidRPr="006F5650">
        <w:rPr>
          <w:rFonts w:ascii="Arial" w:hAnsi="Arial" w:cs="Times New Roman"/>
          <w:b/>
          <w:sz w:val="24"/>
          <w:szCs w:val="20"/>
          <w:vertAlign w:val="superscript"/>
          <w:lang w:val="en-US" w:eastAsia="ja-JP"/>
        </w:rPr>
        <w:t>nd</w:t>
      </w:r>
      <w:r w:rsidRPr="006F5650">
        <w:rPr>
          <w:rFonts w:ascii="Arial" w:hAnsi="Arial" w:cs="Times New Roman"/>
          <w:b/>
          <w:sz w:val="24"/>
          <w:szCs w:val="20"/>
          <w:lang w:val="en-US" w:eastAsia="ja-JP"/>
        </w:rPr>
        <w:t xml:space="preserve"> November 2024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4F047C02" w:rsidR="00841BCD" w:rsidRPr="00FA3BBF"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1007E" w:rsidRPr="0071007E">
        <w:rPr>
          <w:rFonts w:ascii="Arial" w:hAnsi="Arial" w:cs="Arial"/>
          <w:b/>
          <w:bCs/>
          <w:sz w:val="24"/>
          <w:lang w:val="en-US" w:eastAsia="ja-JP"/>
        </w:rPr>
        <w:t xml:space="preserve">IMT parameters: General </w:t>
      </w:r>
      <w:r w:rsidR="00E47EF8">
        <w:rPr>
          <w:rFonts w:ascii="Arial" w:hAnsi="Arial" w:cs="Arial"/>
          <w:b/>
          <w:bCs/>
          <w:sz w:val="24"/>
          <w:lang w:val="en-US" w:eastAsia="ja-JP"/>
        </w:rPr>
        <w:t xml:space="preserve">system </w:t>
      </w:r>
      <w:r w:rsidR="0071007E" w:rsidRPr="0071007E">
        <w:rPr>
          <w:rFonts w:ascii="Arial" w:hAnsi="Arial" w:cs="Arial"/>
          <w:b/>
          <w:bCs/>
          <w:sz w:val="24"/>
          <w:lang w:val="en-US" w:eastAsia="ja-JP"/>
        </w:rPr>
        <w:t>and UE aspects</w:t>
      </w:r>
    </w:p>
    <w:p w14:paraId="0BA6D0AF" w14:textId="0ECF858C"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930483">
        <w:rPr>
          <w:rFonts w:ascii="Arial" w:hAnsi="Arial" w:cs="Arial"/>
          <w:b/>
          <w:bCs/>
          <w:sz w:val="24"/>
          <w:szCs w:val="20"/>
          <w:lang w:val="en-US" w:eastAsia="ja-JP"/>
        </w:rPr>
        <w:t>7</w:t>
      </w:r>
      <w:r w:rsidR="00412486">
        <w:rPr>
          <w:rFonts w:ascii="Arial" w:hAnsi="Arial" w:cs="Arial" w:hint="eastAsia"/>
          <w:b/>
          <w:bCs/>
          <w:sz w:val="24"/>
          <w:szCs w:val="20"/>
          <w:lang w:val="en-US" w:eastAsia="ja-JP"/>
        </w:rPr>
        <w:t>.2.1</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7C5EEF7" w14:textId="6618B1CE" w:rsidR="0071007E" w:rsidRDefault="0071007E" w:rsidP="0071007E">
      <w:pPr>
        <w:rPr>
          <w:rFonts w:eastAsiaTheme="minorEastAsia"/>
          <w:lang w:val="en-US" w:eastAsia="ja-JP"/>
        </w:rPr>
      </w:pPr>
      <w:r w:rsidRPr="009E2671">
        <w:rPr>
          <w:lang w:val="en-US"/>
        </w:rPr>
        <w:t>ITU-R WP 5D has requested that external organizations provide IMT parameters for 4400-4800 MHz, 7125-8400 MHz and 148</w:t>
      </w:r>
      <w:r w:rsidR="00890F3F">
        <w:rPr>
          <w:rFonts w:hint="eastAsia"/>
          <w:lang w:val="en-US" w:eastAsia="ja-JP"/>
        </w:rPr>
        <w:t>00</w:t>
      </w:r>
      <w:r w:rsidRPr="009E2671">
        <w:rPr>
          <w:lang w:val="en-US"/>
        </w:rPr>
        <w:t>-1535</w:t>
      </w:r>
      <w:r w:rsidR="00890F3F">
        <w:rPr>
          <w:rFonts w:hint="eastAsia"/>
          <w:lang w:val="en-US" w:eastAsia="ja-JP"/>
        </w:rPr>
        <w:t>0</w:t>
      </w:r>
      <w:r w:rsidRPr="009E2671">
        <w:rPr>
          <w:lang w:val="en-US"/>
        </w:rPr>
        <w:t xml:space="preserve"> </w:t>
      </w:r>
      <w:r w:rsidR="00890F3F">
        <w:rPr>
          <w:rFonts w:hint="eastAsia"/>
          <w:lang w:val="en-US" w:eastAsia="ja-JP"/>
        </w:rPr>
        <w:t>M</w:t>
      </w:r>
      <w:r w:rsidRPr="009E2671">
        <w:rPr>
          <w:lang w:val="en-US"/>
        </w:rPr>
        <w:t>Hz for the sharing studies towards WRC-27</w:t>
      </w:r>
      <w:r>
        <w:rPr>
          <w:lang w:val="en-US"/>
        </w:rPr>
        <w:t xml:space="preserve"> </w:t>
      </w:r>
      <w:r>
        <w:rPr>
          <w:lang w:val="en-US"/>
        </w:rPr>
        <w:fldChar w:fldCharType="begin"/>
      </w:r>
      <w:r>
        <w:rPr>
          <w:lang w:val="en-US"/>
        </w:rPr>
        <w:instrText xml:space="preserve"> REF _Ref178520813 \r \h </w:instrText>
      </w:r>
      <w:r>
        <w:rPr>
          <w:lang w:val="en-US"/>
        </w:rPr>
      </w:r>
      <w:r>
        <w:rPr>
          <w:lang w:val="en-US"/>
        </w:rPr>
        <w:fldChar w:fldCharType="separate"/>
      </w:r>
      <w:r>
        <w:rPr>
          <w:lang w:val="en-US"/>
        </w:rPr>
        <w:t>[1]</w:t>
      </w:r>
      <w:r>
        <w:rPr>
          <w:lang w:val="en-US"/>
        </w:rPr>
        <w:fldChar w:fldCharType="end"/>
      </w:r>
      <w:r w:rsidRPr="009E2671">
        <w:rPr>
          <w:lang w:val="en-US"/>
        </w:rPr>
        <w:t>. RAN has agreed SI FS_4400_15350MHz_NR and tasked RAN4 to work on these parameters</w:t>
      </w:r>
      <w:r>
        <w:rPr>
          <w:lang w:val="en-US"/>
        </w:rPr>
        <w:t xml:space="preserve"> </w:t>
      </w:r>
      <w:r>
        <w:rPr>
          <w:lang w:val="en-US"/>
        </w:rPr>
        <w:fldChar w:fldCharType="begin"/>
      </w:r>
      <w:r>
        <w:rPr>
          <w:lang w:val="en-US"/>
        </w:rPr>
        <w:instrText xml:space="preserve"> REF _Ref178520828 \r \h </w:instrText>
      </w:r>
      <w:r>
        <w:rPr>
          <w:lang w:val="en-US"/>
        </w:rPr>
      </w:r>
      <w:r>
        <w:rPr>
          <w:lang w:val="en-US"/>
        </w:rPr>
        <w:fldChar w:fldCharType="separate"/>
      </w:r>
      <w:r>
        <w:rPr>
          <w:lang w:val="en-US"/>
        </w:rPr>
        <w:t>[2]</w:t>
      </w:r>
      <w:r>
        <w:rPr>
          <w:lang w:val="en-US"/>
        </w:rPr>
        <w:fldChar w:fldCharType="end"/>
      </w:r>
      <w:r w:rsidRPr="009E2671">
        <w:rPr>
          <w:lang w:val="en-US"/>
        </w:rPr>
        <w:t>.</w:t>
      </w:r>
      <w:r>
        <w:rPr>
          <w:rFonts w:eastAsiaTheme="minorEastAsia" w:hint="eastAsia"/>
          <w:lang w:val="en-US" w:eastAsia="ja-JP"/>
        </w:rPr>
        <w:t xml:space="preserve"> </w:t>
      </w:r>
    </w:p>
    <w:p w14:paraId="07FCF73B" w14:textId="70A432D8" w:rsidR="00913BFF" w:rsidRDefault="0071007E" w:rsidP="00D9052A">
      <w:pPr>
        <w:rPr>
          <w:rFonts w:eastAsiaTheme="minorEastAsia"/>
          <w:lang w:val="en-US" w:eastAsia="ja-JP"/>
        </w:rPr>
      </w:pPr>
      <w:r>
        <w:rPr>
          <w:rFonts w:eastAsiaTheme="minorEastAsia" w:hint="eastAsia"/>
          <w:lang w:val="en-US" w:eastAsia="ja-JP"/>
        </w:rPr>
        <w:t xml:space="preserve">RAN4 </w:t>
      </w:r>
      <w:r w:rsidR="00930483">
        <w:rPr>
          <w:rFonts w:eastAsiaTheme="minorEastAsia"/>
          <w:lang w:val="en-US" w:eastAsia="ja-JP"/>
        </w:rPr>
        <w:t>has already agreed</w:t>
      </w:r>
      <w:r>
        <w:rPr>
          <w:rFonts w:eastAsiaTheme="minorEastAsia"/>
          <w:lang w:val="en-US" w:eastAsia="ja-JP"/>
        </w:rPr>
        <w:t xml:space="preserve"> LS replies for 4400-4800 MHz and</w:t>
      </w:r>
      <w:r>
        <w:rPr>
          <w:rFonts w:eastAsiaTheme="minorEastAsia" w:hint="eastAsia"/>
          <w:lang w:val="en-US" w:eastAsia="ja-JP"/>
        </w:rPr>
        <w:t xml:space="preserve"> </w:t>
      </w:r>
      <w:r w:rsidRPr="009E2671">
        <w:rPr>
          <w:lang w:val="en-US"/>
        </w:rPr>
        <w:t xml:space="preserve">7125-8400 MHz </w:t>
      </w:r>
      <w:r w:rsidR="00930483">
        <w:rPr>
          <w:lang w:val="en-US"/>
        </w:rPr>
        <w:t>in</w:t>
      </w:r>
      <w:r>
        <w:rPr>
          <w:lang w:val="en-US"/>
        </w:rPr>
        <w:t xml:space="preserve"> </w:t>
      </w:r>
      <w:r>
        <w:rPr>
          <w:rFonts w:eastAsiaTheme="minorEastAsia"/>
          <w:lang w:val="en-US" w:eastAsia="ja-JP"/>
        </w:rPr>
        <w:fldChar w:fldCharType="begin"/>
      </w:r>
      <w:r>
        <w:rPr>
          <w:rFonts w:eastAsiaTheme="minorEastAsia"/>
          <w:lang w:val="en-US" w:eastAsia="ja-JP"/>
        </w:rPr>
        <w:instrText xml:space="preserve"> REF _Ref178520913 \r \h </w:instrText>
      </w:r>
      <w:r>
        <w:rPr>
          <w:rFonts w:eastAsiaTheme="minorEastAsia"/>
          <w:lang w:val="en-US" w:eastAsia="ja-JP"/>
        </w:rPr>
      </w:r>
      <w:r>
        <w:rPr>
          <w:rFonts w:eastAsiaTheme="minorEastAsia"/>
          <w:lang w:val="en-US" w:eastAsia="ja-JP"/>
        </w:rPr>
        <w:fldChar w:fldCharType="separate"/>
      </w:r>
      <w:r w:rsidR="006F6C6A">
        <w:rPr>
          <w:rFonts w:eastAsiaTheme="minorEastAsia"/>
          <w:lang w:val="en-US" w:eastAsia="ja-JP"/>
        </w:rPr>
        <w:t>[3]</w:t>
      </w:r>
      <w:r>
        <w:rPr>
          <w:rFonts w:eastAsiaTheme="minorEastAsia"/>
          <w:lang w:val="en-US" w:eastAsia="ja-JP"/>
        </w:rPr>
        <w:fldChar w:fldCharType="end"/>
      </w:r>
      <w:r>
        <w:rPr>
          <w:rFonts w:eastAsiaTheme="minorEastAsia"/>
          <w:lang w:val="en-US" w:eastAsia="ja-JP"/>
        </w:rPr>
        <w:fldChar w:fldCharType="begin"/>
      </w:r>
      <w:r>
        <w:rPr>
          <w:rFonts w:eastAsiaTheme="minorEastAsia"/>
          <w:lang w:val="en-US" w:eastAsia="ja-JP"/>
        </w:rPr>
        <w:instrText xml:space="preserve"> REF _Ref178520915 \r \h </w:instrText>
      </w:r>
      <w:r>
        <w:rPr>
          <w:rFonts w:eastAsiaTheme="minorEastAsia"/>
          <w:lang w:val="en-US" w:eastAsia="ja-JP"/>
        </w:rPr>
      </w:r>
      <w:r>
        <w:rPr>
          <w:rFonts w:eastAsiaTheme="minorEastAsia"/>
          <w:lang w:val="en-US" w:eastAsia="ja-JP"/>
        </w:rPr>
        <w:fldChar w:fldCharType="separate"/>
      </w:r>
      <w:r w:rsidR="006F6C6A">
        <w:rPr>
          <w:rFonts w:eastAsiaTheme="minorEastAsia"/>
          <w:lang w:val="en-US" w:eastAsia="ja-JP"/>
        </w:rPr>
        <w:t>[4]</w:t>
      </w:r>
      <w:r>
        <w:rPr>
          <w:rFonts w:eastAsiaTheme="minorEastAsia"/>
          <w:lang w:val="en-US" w:eastAsia="ja-JP"/>
        </w:rPr>
        <w:fldChar w:fldCharType="end"/>
      </w:r>
      <w:r>
        <w:rPr>
          <w:rFonts w:eastAsiaTheme="minorEastAsia" w:hint="eastAsia"/>
          <w:lang w:val="en-US" w:eastAsia="ja-JP"/>
        </w:rPr>
        <w:t>.</w:t>
      </w:r>
      <w:r w:rsidRPr="0071007E">
        <w:rPr>
          <w:lang w:val="en-US"/>
        </w:rPr>
        <w:t xml:space="preserve"> </w:t>
      </w:r>
      <w:r w:rsidR="00930483">
        <w:rPr>
          <w:lang w:val="en-US"/>
        </w:rPr>
        <w:t>In this contribution, we discuss remaining</w:t>
      </w:r>
      <w:r>
        <w:rPr>
          <w:lang w:val="en-US"/>
        </w:rPr>
        <w:t xml:space="preserve"> open issues regarding </w:t>
      </w:r>
      <w:r w:rsidR="00E47EF8">
        <w:rPr>
          <w:lang w:val="en-US"/>
        </w:rPr>
        <w:t xml:space="preserve">the </w:t>
      </w:r>
      <w:r w:rsidR="00930483">
        <w:rPr>
          <w:lang w:val="en-US"/>
        </w:rPr>
        <w:t xml:space="preserve">system and </w:t>
      </w:r>
      <w:r w:rsidR="00E47EF8">
        <w:rPr>
          <w:lang w:val="en-US"/>
        </w:rPr>
        <w:t xml:space="preserve">UE parameters for </w:t>
      </w:r>
      <w:r w:rsidRPr="009E2671">
        <w:rPr>
          <w:lang w:val="en-US"/>
        </w:rPr>
        <w:t>148</w:t>
      </w:r>
      <w:r w:rsidR="00890F3F">
        <w:rPr>
          <w:rFonts w:hint="eastAsia"/>
          <w:lang w:val="en-US" w:eastAsia="ja-JP"/>
        </w:rPr>
        <w:t>00</w:t>
      </w:r>
      <w:r w:rsidRPr="009E2671">
        <w:rPr>
          <w:lang w:val="en-US"/>
        </w:rPr>
        <w:t>-1535</w:t>
      </w:r>
      <w:r w:rsidR="00890F3F">
        <w:rPr>
          <w:rFonts w:hint="eastAsia"/>
          <w:lang w:val="en-US" w:eastAsia="ja-JP"/>
        </w:rPr>
        <w:t>0</w:t>
      </w:r>
      <w:r w:rsidRPr="009E2671">
        <w:rPr>
          <w:lang w:val="en-US"/>
        </w:rPr>
        <w:t xml:space="preserve"> </w:t>
      </w:r>
      <w:proofErr w:type="spellStart"/>
      <w:r w:rsidR="00890F3F">
        <w:rPr>
          <w:rFonts w:hint="eastAsia"/>
          <w:lang w:val="en-US" w:eastAsia="ja-JP"/>
        </w:rPr>
        <w:t>M</w:t>
      </w:r>
      <w:r w:rsidRPr="009E2671">
        <w:rPr>
          <w:lang w:val="en-US"/>
        </w:rPr>
        <w:t>Hz</w:t>
      </w:r>
      <w:r w:rsidR="00E47EF8">
        <w:rPr>
          <w:rFonts w:eastAsiaTheme="minorEastAsia"/>
          <w:lang w:val="en-US" w:eastAsia="ja-JP"/>
        </w:rPr>
        <w:t>.</w:t>
      </w:r>
      <w:proofErr w:type="spellEnd"/>
    </w:p>
    <w:p w14:paraId="436D5604" w14:textId="77777777" w:rsidR="00E47EF8" w:rsidRPr="00E47EF8" w:rsidRDefault="00E47EF8" w:rsidP="00D9052A">
      <w:pPr>
        <w:rPr>
          <w:rFonts w:eastAsiaTheme="minorEastAsia"/>
          <w:lang w:val="en-US" w:eastAsia="ja-JP"/>
        </w:rPr>
      </w:pPr>
    </w:p>
    <w:p w14:paraId="1835C287" w14:textId="5EF4DFC1" w:rsidR="003B659E" w:rsidRDefault="003B659E" w:rsidP="00AE56B1">
      <w:pPr>
        <w:pStyle w:val="RAN4H1"/>
        <w:rPr>
          <w:rFonts w:eastAsia="MS Mincho"/>
          <w:lang w:val="en-US" w:eastAsia="ja-JP"/>
        </w:rPr>
      </w:pPr>
      <w:bookmarkStart w:id="4" w:name="_Toc116995842"/>
      <w:r w:rsidRPr="00614DD8">
        <w:rPr>
          <w:lang w:val="en-US"/>
        </w:rPr>
        <w:t>Discussion</w:t>
      </w:r>
      <w:bookmarkEnd w:id="4"/>
    </w:p>
    <w:p w14:paraId="725C220D" w14:textId="2A36DF8D" w:rsidR="0071007E" w:rsidRPr="009D4AD1" w:rsidRDefault="006064A4" w:rsidP="0071007E">
      <w:pPr>
        <w:rPr>
          <w:rFonts w:eastAsiaTheme="minorEastAsia"/>
          <w:b/>
          <w:bCs/>
          <w:u w:val="single"/>
          <w:lang w:val="en-US" w:eastAsia="ja-JP"/>
        </w:rPr>
      </w:pPr>
      <w:r>
        <w:rPr>
          <w:b/>
          <w:bCs/>
          <w:u w:val="single"/>
          <w:lang w:val="en-US"/>
        </w:rPr>
        <w:t>C</w:t>
      </w:r>
      <w:r w:rsidR="0071007E" w:rsidRPr="009E2671">
        <w:rPr>
          <w:b/>
          <w:bCs/>
          <w:u w:val="single"/>
          <w:lang w:val="en-US"/>
        </w:rPr>
        <w:t>hannel bandwidth</w:t>
      </w:r>
    </w:p>
    <w:p w14:paraId="53933373" w14:textId="2D1D8F3C" w:rsidR="0071007E" w:rsidRDefault="0071007E" w:rsidP="0071007E">
      <w:pPr>
        <w:rPr>
          <w:rFonts w:eastAsiaTheme="minorEastAsia"/>
          <w:lang w:val="en-US" w:eastAsia="ja-JP"/>
        </w:rPr>
      </w:pPr>
      <w:r w:rsidRPr="00C363F3">
        <w:rPr>
          <w:rFonts w:eastAsiaTheme="minorEastAsia"/>
          <w:b/>
          <w:noProof/>
          <w:lang w:val="en-US" w:eastAsia="ja-JP"/>
        </w:rPr>
        <mc:AlternateContent>
          <mc:Choice Requires="wps">
            <w:drawing>
              <wp:anchor distT="45720" distB="45720" distL="114300" distR="114300" simplePos="0" relativeHeight="251661312" behindDoc="0" locked="0" layoutInCell="1" allowOverlap="1" wp14:anchorId="554A13C5" wp14:editId="5D47FD97">
                <wp:simplePos x="0" y="0"/>
                <wp:positionH relativeFrom="column">
                  <wp:posOffset>-14605</wp:posOffset>
                </wp:positionH>
                <wp:positionV relativeFrom="paragraph">
                  <wp:posOffset>389255</wp:posOffset>
                </wp:positionV>
                <wp:extent cx="6463665" cy="1572260"/>
                <wp:effectExtent l="0" t="0" r="13335" b="27940"/>
                <wp:wrapSquare wrapText="bothSides"/>
                <wp:docPr id="10392627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1572260"/>
                        </a:xfrm>
                        <a:prstGeom prst="rect">
                          <a:avLst/>
                        </a:prstGeom>
                        <a:solidFill>
                          <a:srgbClr val="FFFFFF"/>
                        </a:solidFill>
                        <a:ln w="9525">
                          <a:solidFill>
                            <a:srgbClr val="000000"/>
                          </a:solidFill>
                          <a:miter lim="800000"/>
                          <a:headEnd/>
                          <a:tailEnd/>
                        </a:ln>
                      </wps:spPr>
                      <wps:txbx>
                        <w:txbxContent>
                          <w:p w14:paraId="23404B50" w14:textId="77777777" w:rsidR="00930483" w:rsidRDefault="00930483" w:rsidP="00930483">
                            <w:pPr>
                              <w:rPr>
                                <w:b/>
                                <w:u w:val="single"/>
                              </w:rPr>
                            </w:pPr>
                            <w:r w:rsidRPr="00136800">
                              <w:rPr>
                                <w:b/>
                                <w:u w:val="single"/>
                              </w:rPr>
                              <w:t xml:space="preserve">Issue </w:t>
                            </w:r>
                            <w:r>
                              <w:rPr>
                                <w:b/>
                                <w:u w:val="single"/>
                              </w:rPr>
                              <w:t>4</w:t>
                            </w:r>
                            <w:r w:rsidRPr="00136800">
                              <w:rPr>
                                <w:b/>
                                <w:u w:val="single"/>
                              </w:rPr>
                              <w:t>-</w:t>
                            </w:r>
                            <w:r>
                              <w:rPr>
                                <w:b/>
                                <w:u w:val="single"/>
                              </w:rPr>
                              <w:t>5</w:t>
                            </w:r>
                            <w:r w:rsidRPr="00136800">
                              <w:rPr>
                                <w:b/>
                                <w:u w:val="single"/>
                              </w:rPr>
                              <w:t>: Typical channel bandwidth</w:t>
                            </w:r>
                          </w:p>
                          <w:p w14:paraId="74960C88" w14:textId="77777777" w:rsidR="00930483" w:rsidRPr="00CA67B7" w:rsidRDefault="00930483" w:rsidP="00930483">
                            <w:pPr>
                              <w:rPr>
                                <w:b/>
                                <w:bCs/>
                                <w:szCs w:val="24"/>
                                <w:lang w:eastAsia="zh-CN"/>
                              </w:rPr>
                            </w:pPr>
                            <w:r w:rsidRPr="00CA67B7">
                              <w:rPr>
                                <w:rFonts w:hint="eastAsia"/>
                                <w:b/>
                                <w:bCs/>
                                <w:szCs w:val="24"/>
                                <w:lang w:eastAsia="zh-CN"/>
                              </w:rPr>
                              <w:t>A</w:t>
                            </w:r>
                            <w:r w:rsidRPr="00CA67B7">
                              <w:rPr>
                                <w:b/>
                                <w:bCs/>
                                <w:szCs w:val="24"/>
                                <w:lang w:eastAsia="zh-CN"/>
                              </w:rPr>
                              <w:t xml:space="preserve">greement: </w:t>
                            </w:r>
                          </w:p>
                          <w:p w14:paraId="3B6BC0C2" w14:textId="77777777" w:rsidR="00930483" w:rsidRPr="00CA67B7" w:rsidRDefault="00930483" w:rsidP="00C83CBD">
                            <w:pPr>
                              <w:pStyle w:val="ListParagraph"/>
                              <w:numPr>
                                <w:ilvl w:val="0"/>
                                <w:numId w:val="9"/>
                              </w:numPr>
                              <w:overflowPunct w:val="0"/>
                              <w:autoSpaceDE w:val="0"/>
                              <w:autoSpaceDN w:val="0"/>
                              <w:adjustRightInd w:val="0"/>
                              <w:spacing w:after="180" w:line="240" w:lineRule="auto"/>
                              <w:contextualSpacing w:val="0"/>
                              <w:textAlignment w:val="baseline"/>
                            </w:pPr>
                            <w:r w:rsidRPr="00CA67B7">
                              <w:t>[200MHz] as typical bandwidth, document in TR other bandwidths not precluded</w:t>
                            </w:r>
                          </w:p>
                          <w:p w14:paraId="2FCE95FD" w14:textId="77777777" w:rsidR="00930483" w:rsidRPr="00CA67B7" w:rsidRDefault="00930483" w:rsidP="00C83CBD">
                            <w:pPr>
                              <w:pStyle w:val="ListParagraph"/>
                              <w:numPr>
                                <w:ilvl w:val="1"/>
                                <w:numId w:val="9"/>
                              </w:numPr>
                              <w:overflowPunct w:val="0"/>
                              <w:autoSpaceDE w:val="0"/>
                              <w:autoSpaceDN w:val="0"/>
                              <w:adjustRightInd w:val="0"/>
                              <w:spacing w:after="180" w:line="240" w:lineRule="auto"/>
                              <w:contextualSpacing w:val="0"/>
                              <w:textAlignment w:val="baseline"/>
                              <w:rPr>
                                <w:iCs/>
                              </w:rPr>
                            </w:pPr>
                            <w:r w:rsidRPr="00CA67B7">
                              <w:t>The note should capture the association of channel bandwidth with maximum transmission power /PSD</w:t>
                            </w:r>
                          </w:p>
                          <w:p w14:paraId="235CD7A4" w14:textId="77777777" w:rsidR="00930483" w:rsidRPr="00CA67B7" w:rsidRDefault="00930483" w:rsidP="00C83CBD">
                            <w:pPr>
                              <w:pStyle w:val="ListParagraph"/>
                              <w:numPr>
                                <w:ilvl w:val="1"/>
                                <w:numId w:val="9"/>
                              </w:numPr>
                              <w:overflowPunct w:val="0"/>
                              <w:autoSpaceDE w:val="0"/>
                              <w:autoSpaceDN w:val="0"/>
                              <w:adjustRightInd w:val="0"/>
                              <w:spacing w:after="180" w:line="240" w:lineRule="auto"/>
                              <w:contextualSpacing w:val="0"/>
                              <w:textAlignment w:val="baseline"/>
                              <w:rPr>
                                <w:iCs/>
                              </w:rPr>
                            </w:pPr>
                            <w:r w:rsidRPr="00CA67B7">
                              <w:t xml:space="preserve">If the practical issues are identified or additional work required for </w:t>
                            </w:r>
                            <w:proofErr w:type="gramStart"/>
                            <w:r w:rsidRPr="00CA67B7">
                              <w:t>replying</w:t>
                            </w:r>
                            <w:proofErr w:type="gramEnd"/>
                            <w:r w:rsidRPr="00CA67B7">
                              <w:t xml:space="preserve"> LS for 200MHz, RAN4 will consider 100MHz as typical bandwidth</w:t>
                            </w:r>
                          </w:p>
                          <w:p w14:paraId="05EAFEDE" w14:textId="77777777" w:rsidR="00930483" w:rsidRPr="00E47EF8" w:rsidRDefault="00930483" w:rsidP="007100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4A13C5" id="_x0000_t202" coordsize="21600,21600" o:spt="202" path="m,l,21600r21600,l21600,xe">
                <v:stroke joinstyle="miter"/>
                <v:path gradientshapeok="t" o:connecttype="rect"/>
              </v:shapetype>
              <v:shape id="Text Box 2" o:spid="_x0000_s1026" type="#_x0000_t202" style="position:absolute;margin-left:-1.15pt;margin-top:30.65pt;width:508.95pt;height:123.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">
                <v:textbox>
                  <w:txbxContent>
                    <w:p w14:paraId="23404B50" w14:textId="77777777" w:rsidR="00930483" w:rsidRDefault="00930483" w:rsidP="00930483">
                      <w:pPr>
                        <w:rPr>
                          <w:b/>
                          <w:u w:val="single"/>
                        </w:rPr>
                      </w:pPr>
                      <w:r w:rsidRPr="00136800">
                        <w:rPr>
                          <w:b/>
                          <w:u w:val="single"/>
                        </w:rPr>
                        <w:t xml:space="preserve">Issue </w:t>
                      </w:r>
                      <w:r>
                        <w:rPr>
                          <w:b/>
                          <w:u w:val="single"/>
                        </w:rPr>
                        <w:t>4</w:t>
                      </w:r>
                      <w:r w:rsidRPr="00136800">
                        <w:rPr>
                          <w:b/>
                          <w:u w:val="single"/>
                        </w:rPr>
                        <w:t>-</w:t>
                      </w:r>
                      <w:r>
                        <w:rPr>
                          <w:b/>
                          <w:u w:val="single"/>
                        </w:rPr>
                        <w:t>5</w:t>
                      </w:r>
                      <w:r w:rsidRPr="00136800">
                        <w:rPr>
                          <w:b/>
                          <w:u w:val="single"/>
                        </w:rPr>
                        <w:t>: Typical channel bandwidth</w:t>
                      </w:r>
                    </w:p>
                    <w:p w14:paraId="74960C88" w14:textId="77777777" w:rsidR="00930483" w:rsidRPr="00CA67B7" w:rsidRDefault="00930483" w:rsidP="00930483">
                      <w:pPr>
                        <w:rPr>
                          <w:b/>
                          <w:bCs/>
                          <w:szCs w:val="24"/>
                          <w:lang w:eastAsia="zh-CN"/>
                        </w:rPr>
                      </w:pPr>
                      <w:r w:rsidRPr="00CA67B7">
                        <w:rPr>
                          <w:rFonts w:hint="eastAsia"/>
                          <w:b/>
                          <w:bCs/>
                          <w:szCs w:val="24"/>
                          <w:lang w:eastAsia="zh-CN"/>
                        </w:rPr>
                        <w:t>A</w:t>
                      </w:r>
                      <w:r w:rsidRPr="00CA67B7">
                        <w:rPr>
                          <w:b/>
                          <w:bCs/>
                          <w:szCs w:val="24"/>
                          <w:lang w:eastAsia="zh-CN"/>
                        </w:rPr>
                        <w:t xml:space="preserve">greement: </w:t>
                      </w:r>
                    </w:p>
                    <w:p w14:paraId="3B6BC0C2" w14:textId="77777777" w:rsidR="00930483" w:rsidRPr="00CA67B7" w:rsidRDefault="00930483" w:rsidP="00C83CBD">
                      <w:pPr>
                        <w:pStyle w:val="ListParagraph"/>
                        <w:numPr>
                          <w:ilvl w:val="0"/>
                          <w:numId w:val="9"/>
                        </w:numPr>
                        <w:overflowPunct w:val="0"/>
                        <w:autoSpaceDE w:val="0"/>
                        <w:autoSpaceDN w:val="0"/>
                        <w:adjustRightInd w:val="0"/>
                        <w:spacing w:after="180" w:line="240" w:lineRule="auto"/>
                        <w:contextualSpacing w:val="0"/>
                        <w:textAlignment w:val="baseline"/>
                      </w:pPr>
                      <w:r w:rsidRPr="00CA67B7">
                        <w:t>[200MHz] as typical bandwidth, document in TR other bandwidths not precluded</w:t>
                      </w:r>
                    </w:p>
                    <w:p w14:paraId="2FCE95FD" w14:textId="77777777" w:rsidR="00930483" w:rsidRPr="00CA67B7" w:rsidRDefault="00930483" w:rsidP="00C83CBD">
                      <w:pPr>
                        <w:pStyle w:val="ListParagraph"/>
                        <w:numPr>
                          <w:ilvl w:val="1"/>
                          <w:numId w:val="9"/>
                        </w:numPr>
                        <w:overflowPunct w:val="0"/>
                        <w:autoSpaceDE w:val="0"/>
                        <w:autoSpaceDN w:val="0"/>
                        <w:adjustRightInd w:val="0"/>
                        <w:spacing w:after="180" w:line="240" w:lineRule="auto"/>
                        <w:contextualSpacing w:val="0"/>
                        <w:textAlignment w:val="baseline"/>
                        <w:rPr>
                          <w:iCs/>
                        </w:rPr>
                      </w:pPr>
                      <w:r w:rsidRPr="00CA67B7">
                        <w:t>The note should capture the association of channel bandwidth with maximum transmission power /PSD</w:t>
                      </w:r>
                    </w:p>
                    <w:p w14:paraId="235CD7A4" w14:textId="77777777" w:rsidR="00930483" w:rsidRPr="00CA67B7" w:rsidRDefault="00930483" w:rsidP="00C83CBD">
                      <w:pPr>
                        <w:pStyle w:val="ListParagraph"/>
                        <w:numPr>
                          <w:ilvl w:val="1"/>
                          <w:numId w:val="9"/>
                        </w:numPr>
                        <w:overflowPunct w:val="0"/>
                        <w:autoSpaceDE w:val="0"/>
                        <w:autoSpaceDN w:val="0"/>
                        <w:adjustRightInd w:val="0"/>
                        <w:spacing w:after="180" w:line="240" w:lineRule="auto"/>
                        <w:contextualSpacing w:val="0"/>
                        <w:textAlignment w:val="baseline"/>
                        <w:rPr>
                          <w:iCs/>
                        </w:rPr>
                      </w:pPr>
                      <w:r w:rsidRPr="00CA67B7">
                        <w:t xml:space="preserve">If the practical issues are identified or additional work required for </w:t>
                      </w:r>
                      <w:proofErr w:type="gramStart"/>
                      <w:r w:rsidRPr="00CA67B7">
                        <w:t>replying</w:t>
                      </w:r>
                      <w:proofErr w:type="gramEnd"/>
                      <w:r w:rsidRPr="00CA67B7">
                        <w:t xml:space="preserve"> LS for 200MHz, RAN4 will consider 100MHz as typical bandwidth</w:t>
                      </w:r>
                    </w:p>
                    <w:p w14:paraId="05EAFEDE" w14:textId="77777777" w:rsidR="00930483" w:rsidRPr="00E47EF8" w:rsidRDefault="00930483" w:rsidP="0071007E"/>
                  </w:txbxContent>
                </v:textbox>
                <w10:wrap type="square"/>
              </v:shape>
            </w:pict>
          </mc:Fallback>
        </mc:AlternateContent>
      </w:r>
      <w:r>
        <w:rPr>
          <w:rFonts w:eastAsiaTheme="minorEastAsia" w:hint="eastAsia"/>
          <w:lang w:val="en-US" w:eastAsia="ja-JP"/>
        </w:rPr>
        <w:t>The agreement about the typical channel bandwidth in RAN4#11</w:t>
      </w:r>
      <w:r w:rsidR="00E47EF8">
        <w:rPr>
          <w:rFonts w:eastAsiaTheme="minorEastAsia"/>
          <w:lang w:val="en-US" w:eastAsia="ja-JP"/>
        </w:rPr>
        <w:t>2</w:t>
      </w:r>
      <w:r w:rsidR="00930483">
        <w:rPr>
          <w:rFonts w:eastAsiaTheme="minorEastAsia"/>
          <w:lang w:val="en-US" w:eastAsia="ja-JP"/>
        </w:rPr>
        <w:t xml:space="preserve">-bis </w:t>
      </w:r>
      <w:r w:rsidR="00930483">
        <w:rPr>
          <w:rFonts w:eastAsiaTheme="minorEastAsia"/>
          <w:lang w:val="en-US" w:eastAsia="ja-JP"/>
        </w:rPr>
        <w:fldChar w:fldCharType="begin"/>
      </w:r>
      <w:r w:rsidR="00930483">
        <w:rPr>
          <w:rFonts w:eastAsiaTheme="minorEastAsia"/>
          <w:lang w:val="en-US" w:eastAsia="ja-JP"/>
        </w:rPr>
        <w:instrText xml:space="preserve"> REF _Ref181620476 \r \h </w:instrText>
      </w:r>
      <w:r w:rsidR="00930483">
        <w:rPr>
          <w:rFonts w:eastAsiaTheme="minorEastAsia"/>
          <w:lang w:val="en-US" w:eastAsia="ja-JP"/>
        </w:rPr>
      </w:r>
      <w:r w:rsidR="00930483">
        <w:rPr>
          <w:rFonts w:eastAsiaTheme="minorEastAsia"/>
          <w:lang w:val="en-US" w:eastAsia="ja-JP"/>
        </w:rPr>
        <w:fldChar w:fldCharType="separate"/>
      </w:r>
      <w:r w:rsidR="006F6C6A">
        <w:rPr>
          <w:rFonts w:eastAsiaTheme="minorEastAsia"/>
          <w:lang w:val="en-US" w:eastAsia="ja-JP"/>
        </w:rPr>
        <w:t>[5]</w:t>
      </w:r>
      <w:r w:rsidR="00930483">
        <w:rPr>
          <w:rFonts w:eastAsiaTheme="minorEastAsia"/>
          <w:lang w:val="en-US" w:eastAsia="ja-JP"/>
        </w:rPr>
        <w:fldChar w:fldCharType="end"/>
      </w:r>
      <w:r w:rsidR="00E47EF8">
        <w:rPr>
          <w:rFonts w:eastAsiaTheme="minorEastAsia"/>
          <w:lang w:val="en-US" w:eastAsia="ja-JP"/>
        </w:rPr>
        <w:t xml:space="preserve"> </w:t>
      </w:r>
      <w:r>
        <w:rPr>
          <w:rFonts w:eastAsiaTheme="minorEastAsia" w:hint="eastAsia"/>
          <w:lang w:val="en-US" w:eastAsia="ja-JP"/>
        </w:rPr>
        <w:t xml:space="preserve">is in the following for </w:t>
      </w:r>
      <w:r w:rsidR="00E47EF8" w:rsidRPr="009E2671">
        <w:rPr>
          <w:lang w:val="en-US"/>
        </w:rPr>
        <w:t>148</w:t>
      </w:r>
      <w:r w:rsidR="00890F3F">
        <w:rPr>
          <w:rFonts w:hint="eastAsia"/>
          <w:lang w:val="en-US" w:eastAsia="ja-JP"/>
        </w:rPr>
        <w:t>00</w:t>
      </w:r>
      <w:r w:rsidR="00E47EF8" w:rsidRPr="009E2671">
        <w:rPr>
          <w:lang w:val="en-US"/>
        </w:rPr>
        <w:t>-1535</w:t>
      </w:r>
      <w:r w:rsidR="00890F3F">
        <w:rPr>
          <w:rFonts w:hint="eastAsia"/>
          <w:lang w:val="en-US" w:eastAsia="ja-JP"/>
        </w:rPr>
        <w:t>0</w:t>
      </w:r>
      <w:r w:rsidR="00E47EF8" w:rsidRPr="009E2671">
        <w:rPr>
          <w:lang w:val="en-US"/>
        </w:rPr>
        <w:t xml:space="preserve"> </w:t>
      </w:r>
      <w:proofErr w:type="spellStart"/>
      <w:r>
        <w:rPr>
          <w:rFonts w:eastAsiaTheme="minorEastAsia" w:hint="eastAsia"/>
          <w:lang w:val="en-US" w:eastAsia="ja-JP"/>
        </w:rPr>
        <w:t>MHz.</w:t>
      </w:r>
      <w:proofErr w:type="spellEnd"/>
      <w:r w:rsidR="00930483">
        <w:rPr>
          <w:rFonts w:eastAsiaTheme="minorEastAsia"/>
          <w:lang w:val="en-US" w:eastAsia="ja-JP"/>
        </w:rPr>
        <w:t xml:space="preserve"> 200 MHz is assumed unless there is any practical issue.</w:t>
      </w:r>
    </w:p>
    <w:p w14:paraId="4946B14B" w14:textId="77777777" w:rsidR="008D672B" w:rsidRDefault="008D672B" w:rsidP="0071007E">
      <w:pPr>
        <w:rPr>
          <w:lang w:val="en-US"/>
        </w:rPr>
      </w:pPr>
    </w:p>
    <w:p w14:paraId="2378A488" w14:textId="73662BD9" w:rsidR="00E629A9" w:rsidRDefault="008D672B" w:rsidP="003324F7">
      <w:pPr>
        <w:rPr>
          <w:lang w:val="en-US"/>
        </w:rPr>
      </w:pPr>
      <w:r>
        <w:rPr>
          <w:lang w:val="en-US"/>
        </w:rPr>
        <w:t xml:space="preserve">Although the practical issues are not clarified in the WF, </w:t>
      </w:r>
      <w:r w:rsidR="003324F7">
        <w:rPr>
          <w:lang w:val="en-US"/>
        </w:rPr>
        <w:t xml:space="preserve">we understand </w:t>
      </w:r>
      <w:r>
        <w:rPr>
          <w:lang w:val="en-US"/>
        </w:rPr>
        <w:t xml:space="preserve">they are related to </w:t>
      </w:r>
      <w:r w:rsidR="006F78D3">
        <w:rPr>
          <w:lang w:val="en-US"/>
        </w:rPr>
        <w:t>the</w:t>
      </w:r>
      <w:r>
        <w:rPr>
          <w:lang w:val="en-US"/>
        </w:rPr>
        <w:t xml:space="preserve"> spectrum mask, spurious emissions</w:t>
      </w:r>
      <w:r w:rsidR="008A1BBD">
        <w:rPr>
          <w:lang w:val="en-US"/>
        </w:rPr>
        <w:t xml:space="preserve">, </w:t>
      </w:r>
      <w:r>
        <w:rPr>
          <w:lang w:val="en-US"/>
        </w:rPr>
        <w:t>blocking</w:t>
      </w:r>
      <w:r w:rsidR="008A1BBD">
        <w:rPr>
          <w:lang w:val="en-US"/>
        </w:rPr>
        <w:t xml:space="preserve"> and spurious</w:t>
      </w:r>
      <w:r>
        <w:rPr>
          <w:lang w:val="en-US"/>
        </w:rPr>
        <w:t xml:space="preserve"> response for 200 MHz channel bandwidth. For 100 MHz channel bandwidth, these parameters can be simply reused from NR FR1 specifications.</w:t>
      </w:r>
      <w:r w:rsidR="003324F7">
        <w:rPr>
          <w:lang w:val="en-US"/>
        </w:rPr>
        <w:t xml:space="preserve"> </w:t>
      </w:r>
      <w:r>
        <w:rPr>
          <w:lang w:val="en-US"/>
        </w:rPr>
        <w:t>These is no requirement for 200 MHz channel bandwidth in NR FR1 specifications</w:t>
      </w:r>
      <w:r w:rsidR="006E43E9">
        <w:rPr>
          <w:lang w:val="en-US"/>
        </w:rPr>
        <w:t>, e.g., TS 38.101-1</w:t>
      </w:r>
      <w:r w:rsidR="006F78D3">
        <w:rPr>
          <w:lang w:val="en-US"/>
        </w:rPr>
        <w:t>. H</w:t>
      </w:r>
      <w:r w:rsidR="003324F7">
        <w:rPr>
          <w:lang w:val="en-US"/>
        </w:rPr>
        <w:t xml:space="preserve">owever, </w:t>
      </w:r>
      <w:r>
        <w:rPr>
          <w:lang w:val="en-US"/>
        </w:rPr>
        <w:t xml:space="preserve">we can </w:t>
      </w:r>
      <w:r w:rsidR="006064A4">
        <w:rPr>
          <w:lang w:val="en-US"/>
        </w:rPr>
        <w:t>reuse</w:t>
      </w:r>
      <w:r>
        <w:rPr>
          <w:lang w:val="en-US"/>
        </w:rPr>
        <w:t xml:space="preserve"> the requirement for </w:t>
      </w:r>
      <w:r w:rsidR="003324F7">
        <w:rPr>
          <w:lang w:val="en-US"/>
        </w:rPr>
        <w:t xml:space="preserve">the </w:t>
      </w:r>
      <w:r w:rsidR="006E43E9">
        <w:rPr>
          <w:lang w:val="en-US"/>
        </w:rPr>
        <w:t xml:space="preserve">intra-band </w:t>
      </w:r>
      <w:r w:rsidR="003324F7">
        <w:rPr>
          <w:lang w:val="en-US"/>
        </w:rPr>
        <w:t xml:space="preserve">contiguous </w:t>
      </w:r>
      <w:r>
        <w:rPr>
          <w:lang w:val="en-US"/>
        </w:rPr>
        <w:t>carrier aggregation</w:t>
      </w:r>
      <w:r w:rsidR="006E43E9">
        <w:rPr>
          <w:lang w:val="en-US"/>
        </w:rPr>
        <w:t xml:space="preserve">. </w:t>
      </w:r>
      <w:r w:rsidR="006F78D3">
        <w:rPr>
          <w:lang w:val="en-US"/>
        </w:rPr>
        <w:t>NR CA bandwidth classes are defined up to 400 MHz aggregated channel bandwidth.</w:t>
      </w:r>
    </w:p>
    <w:p w14:paraId="6916952B" w14:textId="719E9D4A" w:rsidR="006064A4" w:rsidRDefault="006064A4" w:rsidP="006064A4">
      <w:pPr>
        <w:rPr>
          <w:rFonts w:eastAsiaTheme="minorEastAsia"/>
          <w:lang w:val="en-US" w:eastAsia="ja-JP"/>
        </w:rPr>
      </w:pPr>
      <w:r w:rsidRPr="00710C76">
        <w:rPr>
          <w:rFonts w:eastAsiaTheme="minorEastAsia"/>
          <w:b/>
          <w:bCs/>
          <w:i/>
          <w:iCs/>
          <w:noProof/>
          <w:lang w:val="en-US" w:eastAsia="ja-JP"/>
        </w:rPr>
        <mc:AlternateContent>
          <mc:Choice Requires="wps">
            <w:drawing>
              <wp:anchor distT="45720" distB="45720" distL="114300" distR="114300" simplePos="0" relativeHeight="251672576" behindDoc="0" locked="0" layoutInCell="1" allowOverlap="1" wp14:anchorId="29D34776" wp14:editId="29693FB4">
                <wp:simplePos x="0" y="0"/>
                <wp:positionH relativeFrom="margin">
                  <wp:align>right</wp:align>
                </wp:positionH>
                <wp:positionV relativeFrom="paragraph">
                  <wp:posOffset>255905</wp:posOffset>
                </wp:positionV>
                <wp:extent cx="6098540" cy="584835"/>
                <wp:effectExtent l="0" t="0" r="16510" b="24765"/>
                <wp:wrapSquare wrapText="bothSides"/>
                <wp:docPr id="504341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584835"/>
                        </a:xfrm>
                        <a:prstGeom prst="rect">
                          <a:avLst/>
                        </a:prstGeom>
                        <a:solidFill>
                          <a:srgbClr val="FFFFFF"/>
                        </a:solidFill>
                        <a:ln w="9525">
                          <a:solidFill>
                            <a:srgbClr val="000000"/>
                          </a:solidFill>
                          <a:miter lim="800000"/>
                          <a:headEnd/>
                          <a:tailEnd/>
                        </a:ln>
                      </wps:spPr>
                      <wps:txbx>
                        <w:txbxContent>
                          <w:p w14:paraId="6A22C851" w14:textId="77777777" w:rsidR="006064A4" w:rsidRPr="00D41E30" w:rsidRDefault="006064A4" w:rsidP="006064A4">
                            <w:pPr>
                              <w:pStyle w:val="BodyText"/>
                              <w:rPr>
                                <w:b/>
                                <w:u w:val="single"/>
                                <w:lang w:val="en-GB"/>
                              </w:rPr>
                            </w:pPr>
                            <w:r w:rsidRPr="00D41E30">
                              <w:rPr>
                                <w:b/>
                                <w:u w:val="single"/>
                                <w:lang w:val="en-GB"/>
                              </w:rPr>
                              <w:t>Spurious emission</w:t>
                            </w:r>
                          </w:p>
                          <w:p w14:paraId="536BC94E" w14:textId="77777777" w:rsidR="006064A4" w:rsidRPr="00D41E30" w:rsidRDefault="006064A4" w:rsidP="00C83CBD">
                            <w:pPr>
                              <w:pStyle w:val="BodyText"/>
                              <w:numPr>
                                <w:ilvl w:val="5"/>
                                <w:numId w:val="13"/>
                              </w:numPr>
                              <w:rPr>
                                <w:lang w:val="en-GB"/>
                              </w:rPr>
                            </w:pPr>
                            <w:r>
                              <w:rPr>
                                <w:lang w:val="en-GB"/>
                              </w:rPr>
                              <w:t xml:space="preserve">FFS if </w:t>
                            </w:r>
                            <w:r w:rsidRPr="00D41E30">
                              <w:rPr>
                                <w:lang w:val="en-GB"/>
                              </w:rPr>
                              <w:t>RAN4 to adopt the UE general spurious emissions defined in TS 38.101-1 clause 6.5.3.1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D34776" id="_x0000_s1027" type="#_x0000_t202" style="position:absolute;margin-left:429pt;margin-top:20.15pt;width:480.2pt;height:46.05pt;z-index:2516725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">
                <v:textbox>
                  <w:txbxContent>
                    <w:p w14:paraId="6A22C851" w14:textId="77777777" w:rsidR="006064A4" w:rsidRPr="00D41E30" w:rsidRDefault="006064A4" w:rsidP="006064A4">
                      <w:pPr>
                        <w:pStyle w:val="BodyText"/>
                        <w:rPr>
                          <w:b/>
                          <w:u w:val="single"/>
                          <w:lang w:val="en-GB"/>
                        </w:rPr>
                      </w:pPr>
                      <w:r w:rsidRPr="00D41E30">
                        <w:rPr>
                          <w:b/>
                          <w:u w:val="single"/>
                          <w:lang w:val="en-GB"/>
                        </w:rPr>
                        <w:t>Spurious emission</w:t>
                      </w:r>
                    </w:p>
                    <w:p w14:paraId="536BC94E" w14:textId="77777777" w:rsidR="006064A4" w:rsidRPr="00D41E30" w:rsidRDefault="006064A4" w:rsidP="00C83CBD">
                      <w:pPr>
                        <w:pStyle w:val="BodyText"/>
                        <w:numPr>
                          <w:ilvl w:val="5"/>
                          <w:numId w:val="13"/>
                        </w:numPr>
                        <w:rPr>
                          <w:lang w:val="en-GB"/>
                        </w:rPr>
                      </w:pPr>
                      <w:r>
                        <w:rPr>
                          <w:lang w:val="en-GB"/>
                        </w:rPr>
                        <w:t xml:space="preserve">FFS if </w:t>
                      </w:r>
                      <w:r w:rsidRPr="00D41E30">
                        <w:rPr>
                          <w:lang w:val="en-GB"/>
                        </w:rPr>
                        <w:t>RAN4 to adopt the UE general spurious emissions defined in TS 38.101-1 clause 6.5.3.1</w:t>
                      </w:r>
                    </w:p>
                  </w:txbxContent>
                </v:textbox>
                <w10:wrap type="square" anchorx="margin"/>
              </v:shape>
            </w:pict>
          </mc:Fallback>
        </mc:AlternateContent>
      </w:r>
      <w:r>
        <w:rPr>
          <w:rFonts w:eastAsiaTheme="minorEastAsia" w:hint="eastAsia"/>
          <w:lang w:val="en-US" w:eastAsia="ja-JP"/>
        </w:rPr>
        <w:t>In the WF in RAN4#11</w:t>
      </w:r>
      <w:r>
        <w:rPr>
          <w:rFonts w:eastAsiaTheme="minorEastAsia"/>
          <w:lang w:val="en-US" w:eastAsia="ja-JP"/>
        </w:rPr>
        <w:t>2-bis</w:t>
      </w:r>
      <w:r w:rsidR="006F6C6A">
        <w:rPr>
          <w:rFonts w:eastAsiaTheme="minorEastAsia"/>
          <w:lang w:val="en-US" w:eastAsia="ja-JP"/>
        </w:rPr>
        <w:t xml:space="preserve"> </w:t>
      </w:r>
      <w:r w:rsidR="006F6C6A">
        <w:rPr>
          <w:rFonts w:eastAsiaTheme="minorEastAsia"/>
          <w:lang w:val="en-US" w:eastAsia="ja-JP"/>
        </w:rPr>
        <w:fldChar w:fldCharType="begin"/>
      </w:r>
      <w:r w:rsidR="006F6C6A">
        <w:rPr>
          <w:rFonts w:eastAsiaTheme="minorEastAsia"/>
          <w:lang w:val="en-US" w:eastAsia="ja-JP"/>
        </w:rPr>
        <w:instrText xml:space="preserve"> REF _Ref181632554 \r \h </w:instrText>
      </w:r>
      <w:r w:rsidR="006F6C6A">
        <w:rPr>
          <w:rFonts w:eastAsiaTheme="minorEastAsia"/>
          <w:lang w:val="en-US" w:eastAsia="ja-JP"/>
        </w:rPr>
      </w:r>
      <w:r w:rsidR="006F6C6A">
        <w:rPr>
          <w:rFonts w:eastAsiaTheme="minorEastAsia"/>
          <w:lang w:val="en-US" w:eastAsia="ja-JP"/>
        </w:rPr>
        <w:fldChar w:fldCharType="separate"/>
      </w:r>
      <w:r w:rsidR="006F6C6A">
        <w:rPr>
          <w:rFonts w:eastAsiaTheme="minorEastAsia"/>
          <w:lang w:val="en-US" w:eastAsia="ja-JP"/>
        </w:rPr>
        <w:t>[6]</w:t>
      </w:r>
      <w:r w:rsidR="006F6C6A">
        <w:rPr>
          <w:rFonts w:eastAsiaTheme="minorEastAsia"/>
          <w:lang w:val="en-US" w:eastAsia="ja-JP"/>
        </w:rPr>
        <w:fldChar w:fldCharType="end"/>
      </w:r>
      <w:r>
        <w:rPr>
          <w:rFonts w:eastAsiaTheme="minorEastAsia" w:hint="eastAsia"/>
          <w:lang w:val="en-US" w:eastAsia="ja-JP"/>
        </w:rPr>
        <w:t xml:space="preserve">, </w:t>
      </w:r>
      <w:r>
        <w:rPr>
          <w:rFonts w:eastAsiaTheme="minorEastAsia"/>
          <w:lang w:val="en-US" w:eastAsia="ja-JP"/>
        </w:rPr>
        <w:t>the following agreement was made for spurious emissions.</w:t>
      </w:r>
    </w:p>
    <w:p w14:paraId="0C7A4C27" w14:textId="0BC978FC" w:rsidR="00E629A9" w:rsidRPr="00A1115A" w:rsidRDefault="00A375FC" w:rsidP="00E629A9">
      <w:r>
        <w:rPr>
          <w:rFonts w:eastAsiaTheme="minorEastAsia"/>
          <w:lang w:val="en-US" w:eastAsia="ja-JP"/>
        </w:rPr>
        <w:t xml:space="preserve">For the channel bandwidth up to 100 MHz, TS 38.101-1 clause 6.5.3.1 </w:t>
      </w:r>
      <w:r w:rsidR="006E43E9">
        <w:rPr>
          <w:rFonts w:eastAsiaTheme="minorEastAsia"/>
          <w:lang w:val="en-US" w:eastAsia="ja-JP"/>
        </w:rPr>
        <w:t>can be referred</w:t>
      </w:r>
      <w:r>
        <w:rPr>
          <w:rFonts w:eastAsiaTheme="minorEastAsia"/>
          <w:lang w:val="en-US" w:eastAsia="ja-JP"/>
        </w:rPr>
        <w:t xml:space="preserve">. For the channel bandwidth wider than 100 MHz, the emissions defined for the aggregated channel bandwidth in NR CA can be reused. </w:t>
      </w:r>
      <w:r w:rsidR="006E43E9">
        <w:rPr>
          <w:lang w:val="en-US"/>
        </w:rPr>
        <w:t>S</w:t>
      </w:r>
      <w:r w:rsidR="00E629A9">
        <w:rPr>
          <w:lang w:val="en-US"/>
        </w:rPr>
        <w:t xml:space="preserve">purious </w:t>
      </w:r>
      <w:r w:rsidR="00E629A9">
        <w:rPr>
          <w:lang w:val="en-US"/>
        </w:rPr>
        <w:lastRenderedPageBreak/>
        <w:t xml:space="preserve">emissions can be derived by assuming </w:t>
      </w:r>
      <w:proofErr w:type="spellStart"/>
      <w:r w:rsidR="00E629A9" w:rsidRPr="00A1115A">
        <w:t>BW</w:t>
      </w:r>
      <w:r w:rsidR="00E629A9" w:rsidRPr="00A1115A">
        <w:rPr>
          <w:vertAlign w:val="subscript"/>
        </w:rPr>
        <w:t>channel_CA</w:t>
      </w:r>
      <w:proofErr w:type="spellEnd"/>
      <w:r w:rsidR="00E629A9">
        <w:rPr>
          <w:lang w:val="en-US"/>
        </w:rPr>
        <w:t xml:space="preserve"> =200 MHz in Table 6.5A.3.1-1 of TS 38.101-1 so that the spurious region boundary is FOOB=205 </w:t>
      </w:r>
      <w:proofErr w:type="spellStart"/>
      <w:r w:rsidR="00E629A9">
        <w:rPr>
          <w:lang w:val="en-US"/>
        </w:rPr>
        <w:t>MHz.</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629A9" w:rsidRPr="00A1115A" w14:paraId="5EA6469B" w14:textId="77777777" w:rsidTr="00325CA0">
        <w:trPr>
          <w:jc w:val="center"/>
        </w:trPr>
        <w:tc>
          <w:tcPr>
            <w:tcW w:w="1731" w:type="dxa"/>
          </w:tcPr>
          <w:p w14:paraId="4AC81C8E" w14:textId="77777777" w:rsidR="00E629A9" w:rsidRPr="00A1115A" w:rsidRDefault="00E629A9" w:rsidP="00325CA0">
            <w:pPr>
              <w:pStyle w:val="TAH"/>
            </w:pPr>
            <w:r w:rsidRPr="00A1115A">
              <w:t xml:space="preserve">Aggregated </w:t>
            </w:r>
            <w:r w:rsidRPr="00A1115A">
              <w:rPr>
                <w:rFonts w:hint="eastAsia"/>
              </w:rPr>
              <w:t>Channel bandwidth</w:t>
            </w:r>
          </w:p>
        </w:tc>
        <w:tc>
          <w:tcPr>
            <w:tcW w:w="4284" w:type="dxa"/>
            <w:vAlign w:val="center"/>
          </w:tcPr>
          <w:p w14:paraId="79FC49C0" w14:textId="77777777" w:rsidR="00E629A9" w:rsidRPr="00A1115A" w:rsidRDefault="00E629A9" w:rsidP="00325CA0">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E629A9" w:rsidRPr="00A1115A" w14:paraId="00139080" w14:textId="77777777" w:rsidTr="00325CA0">
        <w:trPr>
          <w:jc w:val="center"/>
        </w:trPr>
        <w:tc>
          <w:tcPr>
            <w:tcW w:w="1731" w:type="dxa"/>
          </w:tcPr>
          <w:p w14:paraId="2BEF8BE4" w14:textId="77777777" w:rsidR="00E629A9" w:rsidRPr="00A1115A" w:rsidRDefault="00E629A9" w:rsidP="00325CA0">
            <w:pPr>
              <w:pStyle w:val="TAC"/>
            </w:pPr>
            <w:proofErr w:type="spellStart"/>
            <w:r w:rsidRPr="00A1115A">
              <w:rPr>
                <w:rFonts w:hint="eastAsia"/>
              </w:rPr>
              <w:t>BW</w:t>
            </w:r>
            <w:r w:rsidRPr="00A1115A">
              <w:rPr>
                <w:vertAlign w:val="subscript"/>
              </w:rPr>
              <w:t>Channel_CA</w:t>
            </w:r>
            <w:proofErr w:type="spellEnd"/>
          </w:p>
        </w:tc>
        <w:tc>
          <w:tcPr>
            <w:tcW w:w="4284" w:type="dxa"/>
            <w:vAlign w:val="center"/>
          </w:tcPr>
          <w:p w14:paraId="1FD66CAB" w14:textId="77777777" w:rsidR="00E629A9" w:rsidRPr="00A1115A" w:rsidRDefault="00E629A9" w:rsidP="00325CA0">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14:paraId="099B30B5" w14:textId="77777777" w:rsidR="00E629A9" w:rsidRPr="00A1115A" w:rsidRDefault="00E629A9" w:rsidP="00E629A9">
      <w:pPr>
        <w:pStyle w:val="B1"/>
        <w:ind w:left="284" w:firstLine="0"/>
      </w:pPr>
    </w:p>
    <w:p w14:paraId="3BA41BD3" w14:textId="763ED1B4" w:rsidR="006064A4" w:rsidRDefault="006064A4" w:rsidP="006064A4">
      <w:pPr>
        <w:pStyle w:val="RAN4proposal"/>
        <w:rPr>
          <w:lang w:val="en-US"/>
        </w:rPr>
      </w:pPr>
      <w:bookmarkStart w:id="5" w:name="_Toc181743800"/>
      <w:r>
        <w:rPr>
          <w:lang w:val="en-US"/>
        </w:rPr>
        <w:t xml:space="preserve">Spurious emissions up to 100 MHz channel bandwidth </w:t>
      </w:r>
      <w:r w:rsidR="00A375FC">
        <w:rPr>
          <w:lang w:val="en-US"/>
        </w:rPr>
        <w:t>is defined in TS 38.101-1 clause 6.5.3.1. For wider channel bandwidth</w:t>
      </w:r>
      <w:r w:rsidR="006E43E9">
        <w:rPr>
          <w:lang w:val="en-US"/>
        </w:rPr>
        <w:t xml:space="preserve"> such as 200 MHz,</w:t>
      </w:r>
      <w:r w:rsidR="00A375FC">
        <w:rPr>
          <w:lang w:val="en-US"/>
        </w:rPr>
        <w:t xml:space="preserve"> TS 38.101-1 clause 6.5A.3</w:t>
      </w:r>
      <w:r w:rsidR="006E43E9">
        <w:rPr>
          <w:lang w:val="en-US"/>
        </w:rPr>
        <w:t xml:space="preserve"> is referred</w:t>
      </w:r>
      <w:r w:rsidR="00A375FC">
        <w:rPr>
          <w:lang w:val="en-US"/>
        </w:rPr>
        <w:t>.</w:t>
      </w:r>
      <w:bookmarkEnd w:id="5"/>
    </w:p>
    <w:p w14:paraId="4DD6F6AE" w14:textId="77777777" w:rsidR="00A375FC" w:rsidRDefault="00A375FC" w:rsidP="00A375FC">
      <w:pPr>
        <w:rPr>
          <w:lang w:val="en-US"/>
        </w:rPr>
      </w:pPr>
    </w:p>
    <w:p w14:paraId="19DEBC87" w14:textId="75DB3E1F" w:rsidR="00A375FC" w:rsidRDefault="00A375FC" w:rsidP="00A375FC">
      <w:pPr>
        <w:rPr>
          <w:rFonts w:eastAsiaTheme="minorEastAsia"/>
          <w:lang w:val="en-US" w:eastAsia="ja-JP"/>
        </w:rPr>
      </w:pPr>
      <w:r>
        <w:rPr>
          <w:rFonts w:eastAsiaTheme="minorEastAsia" w:hint="eastAsia"/>
          <w:lang w:val="en-US" w:eastAsia="ja-JP"/>
        </w:rPr>
        <w:t>In the WF in RAN4#11</w:t>
      </w:r>
      <w:r>
        <w:rPr>
          <w:rFonts w:eastAsiaTheme="minorEastAsia"/>
          <w:lang w:val="en-US" w:eastAsia="ja-JP"/>
        </w:rPr>
        <w:t>2-bis</w:t>
      </w:r>
      <w:r w:rsidR="006F6C6A">
        <w:rPr>
          <w:rFonts w:eastAsiaTheme="minorEastAsia"/>
          <w:lang w:val="en-US" w:eastAsia="ja-JP"/>
        </w:rPr>
        <w:t xml:space="preserve"> </w:t>
      </w:r>
      <w:r w:rsidR="006F6C6A">
        <w:rPr>
          <w:rFonts w:eastAsiaTheme="minorEastAsia"/>
          <w:lang w:val="en-US" w:eastAsia="ja-JP"/>
        </w:rPr>
        <w:fldChar w:fldCharType="begin"/>
      </w:r>
      <w:r w:rsidR="006F6C6A">
        <w:rPr>
          <w:rFonts w:eastAsiaTheme="minorEastAsia"/>
          <w:lang w:val="en-US" w:eastAsia="ja-JP"/>
        </w:rPr>
        <w:instrText xml:space="preserve"> REF _Ref181632554 \r \h </w:instrText>
      </w:r>
      <w:r w:rsidR="006F6C6A">
        <w:rPr>
          <w:rFonts w:eastAsiaTheme="minorEastAsia"/>
          <w:lang w:val="en-US" w:eastAsia="ja-JP"/>
        </w:rPr>
      </w:r>
      <w:r w:rsidR="006F6C6A">
        <w:rPr>
          <w:rFonts w:eastAsiaTheme="minorEastAsia"/>
          <w:lang w:val="en-US" w:eastAsia="ja-JP"/>
        </w:rPr>
        <w:fldChar w:fldCharType="separate"/>
      </w:r>
      <w:r w:rsidR="006F6C6A">
        <w:rPr>
          <w:rFonts w:eastAsiaTheme="minorEastAsia"/>
          <w:lang w:val="en-US" w:eastAsia="ja-JP"/>
        </w:rPr>
        <w:t>[6]</w:t>
      </w:r>
      <w:r w:rsidR="006F6C6A">
        <w:rPr>
          <w:rFonts w:eastAsiaTheme="minorEastAsia"/>
          <w:lang w:val="en-US" w:eastAsia="ja-JP"/>
        </w:rPr>
        <w:fldChar w:fldCharType="end"/>
      </w:r>
      <w:r>
        <w:rPr>
          <w:rFonts w:eastAsiaTheme="minorEastAsia" w:hint="eastAsia"/>
          <w:lang w:val="en-US" w:eastAsia="ja-JP"/>
        </w:rPr>
        <w:t xml:space="preserve">, </w:t>
      </w:r>
      <w:r>
        <w:rPr>
          <w:rFonts w:eastAsiaTheme="minorEastAsia"/>
          <w:lang w:val="en-US" w:eastAsia="ja-JP"/>
        </w:rPr>
        <w:t>the following agreement was made for the emission mask.</w:t>
      </w:r>
    </w:p>
    <w:p w14:paraId="21A21E45" w14:textId="1F678F66" w:rsidR="003324F7" w:rsidRPr="00A1115A" w:rsidRDefault="00A375FC" w:rsidP="003324F7">
      <w:r w:rsidRPr="00710C76">
        <w:rPr>
          <w:rFonts w:eastAsiaTheme="minorEastAsia"/>
          <w:b/>
          <w:bCs/>
          <w:i/>
          <w:iCs/>
          <w:noProof/>
          <w:lang w:val="en-US" w:eastAsia="ja-JP"/>
        </w:rPr>
        <mc:AlternateContent>
          <mc:Choice Requires="wps">
            <w:drawing>
              <wp:anchor distT="45720" distB="45720" distL="114300" distR="114300" simplePos="0" relativeHeight="251674624" behindDoc="0" locked="0" layoutInCell="1" allowOverlap="1" wp14:anchorId="60941568" wp14:editId="2C061A23">
                <wp:simplePos x="0" y="0"/>
                <wp:positionH relativeFrom="margin">
                  <wp:align>right</wp:align>
                </wp:positionH>
                <wp:positionV relativeFrom="paragraph">
                  <wp:posOffset>304</wp:posOffset>
                </wp:positionV>
                <wp:extent cx="6098540" cy="789940"/>
                <wp:effectExtent l="0" t="0" r="16510" b="10160"/>
                <wp:wrapSquare wrapText="bothSides"/>
                <wp:docPr id="212373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90041"/>
                        </a:xfrm>
                        <a:prstGeom prst="rect">
                          <a:avLst/>
                        </a:prstGeom>
                        <a:solidFill>
                          <a:srgbClr val="FFFFFF"/>
                        </a:solidFill>
                        <a:ln w="9525">
                          <a:solidFill>
                            <a:srgbClr val="000000"/>
                          </a:solidFill>
                          <a:miter lim="800000"/>
                          <a:headEnd/>
                          <a:tailEnd/>
                        </a:ln>
                      </wps:spPr>
                      <wps:txbx>
                        <w:txbxContent>
                          <w:p w14:paraId="7A3187E6" w14:textId="77777777" w:rsidR="00A375FC" w:rsidRPr="00D41E30" w:rsidRDefault="00A375FC" w:rsidP="00A375FC">
                            <w:pPr>
                              <w:pStyle w:val="BodyText"/>
                              <w:rPr>
                                <w:b/>
                                <w:u w:val="single"/>
                                <w:lang w:val="en-GB"/>
                              </w:rPr>
                            </w:pPr>
                            <w:r w:rsidRPr="00D41E30">
                              <w:rPr>
                                <w:b/>
                                <w:u w:val="single"/>
                                <w:lang w:val="en-GB"/>
                              </w:rPr>
                              <w:t>Emissions mask</w:t>
                            </w:r>
                          </w:p>
                          <w:p w14:paraId="593776B1" w14:textId="77777777" w:rsidR="00A375FC" w:rsidRDefault="00A375FC" w:rsidP="00C83CBD">
                            <w:pPr>
                              <w:pStyle w:val="BodyText"/>
                              <w:numPr>
                                <w:ilvl w:val="0"/>
                                <w:numId w:val="12"/>
                              </w:numPr>
                              <w:rPr>
                                <w:lang w:val="en-GB"/>
                              </w:rPr>
                            </w:pPr>
                            <w:r>
                              <w:rPr>
                                <w:lang w:val="en-GB"/>
                              </w:rPr>
                              <w:t xml:space="preserve">Option 1: UE SEM given in Section 7.1.2, TR 38.921. </w:t>
                            </w:r>
                          </w:p>
                          <w:p w14:paraId="3FD1531F" w14:textId="77777777" w:rsidR="00A375FC" w:rsidRPr="00D41E30" w:rsidRDefault="00A375FC" w:rsidP="00C83CBD">
                            <w:pPr>
                              <w:pStyle w:val="BodyText"/>
                              <w:numPr>
                                <w:ilvl w:val="0"/>
                                <w:numId w:val="12"/>
                              </w:numPr>
                              <w:rPr>
                                <w:lang w:val="en-GB"/>
                              </w:rPr>
                            </w:pPr>
                            <w:r>
                              <w:rPr>
                                <w:lang w:val="en-GB"/>
                              </w:rPr>
                              <w:t>Option 2: Other options</w:t>
                            </w:r>
                            <w:r w:rsidRPr="00D41E30">
                              <w:rPr>
                                <w:lang w:val="en-GB"/>
                              </w:rPr>
                              <w:t>.</w:t>
                            </w:r>
                          </w:p>
                          <w:p w14:paraId="5C6E988A" w14:textId="77777777" w:rsidR="00A375FC" w:rsidRPr="00175518" w:rsidRDefault="00A375FC" w:rsidP="00A375FC">
                            <w:pPr>
                              <w:adjustRightInd w:val="0"/>
                              <w:spacing w:after="180" w:line="240" w:lineRule="auto"/>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941568" id="_x0000_s1028" type="#_x0000_t202" style="position:absolute;margin-left:429pt;margin-top:0;width:480.2pt;height:62.2pt;z-index:2516746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">
                <v:textbox>
                  <w:txbxContent>
                    <w:p w14:paraId="7A3187E6" w14:textId="77777777" w:rsidR="00A375FC" w:rsidRPr="00D41E30" w:rsidRDefault="00A375FC" w:rsidP="00A375FC">
                      <w:pPr>
                        <w:pStyle w:val="BodyText"/>
                        <w:rPr>
                          <w:b/>
                          <w:u w:val="single"/>
                          <w:lang w:val="en-GB"/>
                        </w:rPr>
                      </w:pPr>
                      <w:r w:rsidRPr="00D41E30">
                        <w:rPr>
                          <w:b/>
                          <w:u w:val="single"/>
                          <w:lang w:val="en-GB"/>
                        </w:rPr>
                        <w:t>Emissions mask</w:t>
                      </w:r>
                    </w:p>
                    <w:p w14:paraId="593776B1" w14:textId="77777777" w:rsidR="00A375FC" w:rsidRDefault="00A375FC" w:rsidP="00C83CBD">
                      <w:pPr>
                        <w:pStyle w:val="BodyText"/>
                        <w:numPr>
                          <w:ilvl w:val="0"/>
                          <w:numId w:val="12"/>
                        </w:numPr>
                        <w:rPr>
                          <w:lang w:val="en-GB"/>
                        </w:rPr>
                      </w:pPr>
                      <w:r>
                        <w:rPr>
                          <w:lang w:val="en-GB"/>
                        </w:rPr>
                        <w:t xml:space="preserve">Option 1: UE SEM given in Section 7.1.2, TR 38.921. </w:t>
                      </w:r>
                    </w:p>
                    <w:p w14:paraId="3FD1531F" w14:textId="77777777" w:rsidR="00A375FC" w:rsidRPr="00D41E30" w:rsidRDefault="00A375FC" w:rsidP="00C83CBD">
                      <w:pPr>
                        <w:pStyle w:val="BodyText"/>
                        <w:numPr>
                          <w:ilvl w:val="0"/>
                          <w:numId w:val="12"/>
                        </w:numPr>
                        <w:rPr>
                          <w:lang w:val="en-GB"/>
                        </w:rPr>
                      </w:pPr>
                      <w:r>
                        <w:rPr>
                          <w:lang w:val="en-GB"/>
                        </w:rPr>
                        <w:t>Option 2: Other options</w:t>
                      </w:r>
                      <w:r w:rsidRPr="00D41E30">
                        <w:rPr>
                          <w:lang w:val="en-GB"/>
                        </w:rPr>
                        <w:t>.</w:t>
                      </w:r>
                    </w:p>
                    <w:p w14:paraId="5C6E988A" w14:textId="77777777" w:rsidR="00A375FC" w:rsidRPr="00175518" w:rsidRDefault="00A375FC" w:rsidP="00A375FC">
                      <w:pPr>
                        <w:adjustRightInd w:val="0"/>
                        <w:spacing w:after="180" w:line="240" w:lineRule="auto"/>
                        <w:rPr>
                          <w:lang w:val="en-US"/>
                        </w:rPr>
                      </w:pPr>
                    </w:p>
                  </w:txbxContent>
                </v:textbox>
                <w10:wrap type="square" anchorx="margin"/>
              </v:shape>
            </w:pict>
          </mc:Fallback>
        </mc:AlternateContent>
      </w:r>
      <w:r>
        <w:rPr>
          <w:rFonts w:eastAsiaTheme="minorEastAsia"/>
          <w:lang w:val="en-US" w:eastAsia="ja-JP"/>
        </w:rPr>
        <w:t>For the channel bandwidth up to 100 MHz, option 1 works or alternatively TS 38.101-1 clause 6.5.2.2</w:t>
      </w:r>
      <w:r w:rsidR="006E43E9">
        <w:rPr>
          <w:rFonts w:eastAsiaTheme="minorEastAsia"/>
          <w:lang w:val="en-US" w:eastAsia="ja-JP"/>
        </w:rPr>
        <w:t xml:space="preserve"> can be referred as they are the same</w:t>
      </w:r>
      <w:r>
        <w:rPr>
          <w:rFonts w:eastAsiaTheme="minorEastAsia"/>
          <w:lang w:val="en-US" w:eastAsia="ja-JP"/>
        </w:rPr>
        <w:t xml:space="preserve">. For the channel bandwidth 200 MHz, the mask defined for the aggregated channel bandwidth in NR CA can be reused. Therefore, </w:t>
      </w:r>
      <w:r>
        <w:rPr>
          <w:lang w:val="en-US"/>
        </w:rPr>
        <w:t>s</w:t>
      </w:r>
      <w:r w:rsidR="00E629A9">
        <w:rPr>
          <w:lang w:val="en-US"/>
        </w:rPr>
        <w:t>pectral mask can be derived by</w:t>
      </w:r>
      <w:r w:rsidR="003324F7">
        <w:rPr>
          <w:lang w:val="en-US"/>
        </w:rPr>
        <w:t xml:space="preserve"> assuming </w:t>
      </w:r>
      <w:proofErr w:type="spellStart"/>
      <w:r w:rsidR="003324F7" w:rsidRPr="00A1115A">
        <w:t>BW</w:t>
      </w:r>
      <w:r w:rsidR="003324F7" w:rsidRPr="00A1115A">
        <w:rPr>
          <w:vertAlign w:val="subscript"/>
        </w:rPr>
        <w:t>channel_CA</w:t>
      </w:r>
      <w:proofErr w:type="spellEnd"/>
      <w:r w:rsidR="003324F7">
        <w:rPr>
          <w:lang w:val="en-US"/>
        </w:rPr>
        <w:t xml:space="preserve"> =200 MHz in Table 6.5A.2.2.1-1 of TS 38.101-1.</w:t>
      </w:r>
      <w:r w:rsidR="008D672B">
        <w:rPr>
          <w:lang w:val="en-US"/>
        </w:rPr>
        <w:t xml:space="preserve"> </w:t>
      </w:r>
    </w:p>
    <w:tbl>
      <w:tblPr>
        <w:tblStyle w:val="TableGrid"/>
        <w:tblW w:w="0" w:type="auto"/>
        <w:jc w:val="center"/>
        <w:tblLook w:val="04A0" w:firstRow="1" w:lastRow="0" w:firstColumn="1" w:lastColumn="0" w:noHBand="0" w:noVBand="1"/>
      </w:tblPr>
      <w:tblGrid>
        <w:gridCol w:w="2517"/>
        <w:gridCol w:w="3079"/>
        <w:gridCol w:w="2518"/>
      </w:tblGrid>
      <w:tr w:rsidR="003324F7" w:rsidRPr="00A1115A" w14:paraId="2D337E41" w14:textId="77777777" w:rsidTr="00325CA0">
        <w:trPr>
          <w:trHeight w:val="247"/>
          <w:jc w:val="center"/>
        </w:trPr>
        <w:tc>
          <w:tcPr>
            <w:tcW w:w="2517" w:type="dxa"/>
          </w:tcPr>
          <w:p w14:paraId="63700ED0" w14:textId="77777777" w:rsidR="003324F7" w:rsidRPr="00A1115A" w:rsidRDefault="003324F7" w:rsidP="00325CA0">
            <w:pPr>
              <w:pStyle w:val="TAH"/>
              <w:rPr>
                <w:vertAlign w:val="subscript"/>
              </w:rPr>
            </w:pPr>
            <w:proofErr w:type="spellStart"/>
            <w:r w:rsidRPr="00A1115A">
              <w:t>Δf</w:t>
            </w:r>
            <w:r w:rsidRPr="00A1115A">
              <w:rPr>
                <w:vertAlign w:val="subscript"/>
              </w:rPr>
              <w:t>OOB</w:t>
            </w:r>
            <w:proofErr w:type="spellEnd"/>
          </w:p>
          <w:p w14:paraId="5CF521EB" w14:textId="77777777" w:rsidR="003324F7" w:rsidRPr="00A1115A" w:rsidRDefault="003324F7" w:rsidP="00325CA0">
            <w:pPr>
              <w:pStyle w:val="TAH"/>
              <w:rPr>
                <w:sz w:val="16"/>
              </w:rPr>
            </w:pPr>
            <w:r w:rsidRPr="00A1115A">
              <w:t>(MHz)</w:t>
            </w:r>
          </w:p>
        </w:tc>
        <w:tc>
          <w:tcPr>
            <w:tcW w:w="3079" w:type="dxa"/>
          </w:tcPr>
          <w:p w14:paraId="432324D7" w14:textId="77777777" w:rsidR="003324F7" w:rsidRPr="00A1115A" w:rsidRDefault="003324F7" w:rsidP="00325CA0">
            <w:pPr>
              <w:pStyle w:val="TAH"/>
              <w:rPr>
                <w:sz w:val="16"/>
              </w:rPr>
            </w:pPr>
            <w:r w:rsidRPr="00A1115A">
              <w:rPr>
                <w:sz w:val="16"/>
              </w:rPr>
              <w:t>Spectrum emission limit(dBm)</w:t>
            </w:r>
          </w:p>
        </w:tc>
        <w:tc>
          <w:tcPr>
            <w:tcW w:w="2518" w:type="dxa"/>
          </w:tcPr>
          <w:p w14:paraId="3649183C" w14:textId="77777777" w:rsidR="003324F7" w:rsidRPr="00A1115A" w:rsidRDefault="003324F7" w:rsidP="00325CA0">
            <w:pPr>
              <w:pStyle w:val="TAH"/>
              <w:rPr>
                <w:sz w:val="16"/>
              </w:rPr>
            </w:pPr>
            <w:r w:rsidRPr="00A1115A">
              <w:rPr>
                <w:sz w:val="16"/>
              </w:rPr>
              <w:t>MBW(MHz)</w:t>
            </w:r>
          </w:p>
        </w:tc>
      </w:tr>
      <w:tr w:rsidR="003324F7" w:rsidRPr="00A1115A" w14:paraId="5253FA2A" w14:textId="77777777" w:rsidTr="00325CA0">
        <w:trPr>
          <w:trHeight w:val="247"/>
          <w:jc w:val="center"/>
        </w:trPr>
        <w:tc>
          <w:tcPr>
            <w:tcW w:w="2517" w:type="dxa"/>
          </w:tcPr>
          <w:p w14:paraId="2B7F4FE4" w14:textId="77777777" w:rsidR="003324F7" w:rsidRPr="00A1115A" w:rsidRDefault="003324F7" w:rsidP="00325CA0">
            <w:pPr>
              <w:pStyle w:val="TAC"/>
            </w:pPr>
            <w:r w:rsidRPr="00A1115A">
              <w:t xml:space="preserve">± 0 - 1 </w:t>
            </w:r>
          </w:p>
        </w:tc>
        <w:tc>
          <w:tcPr>
            <w:tcW w:w="3079" w:type="dxa"/>
          </w:tcPr>
          <w:p w14:paraId="4E28B438" w14:textId="77777777" w:rsidR="003324F7" w:rsidRPr="00A1115A" w:rsidRDefault="003324F7" w:rsidP="00325CA0">
            <w:pPr>
              <w:pStyle w:val="TAC"/>
            </w:pPr>
            <w:r w:rsidRPr="00A1115A">
              <w:t>-13</w:t>
            </w:r>
          </w:p>
        </w:tc>
        <w:tc>
          <w:tcPr>
            <w:tcW w:w="2518" w:type="dxa"/>
          </w:tcPr>
          <w:p w14:paraId="0A96B2BF" w14:textId="501B6C9B" w:rsidR="003324F7" w:rsidRPr="00A1115A" w:rsidRDefault="003324F7" w:rsidP="00325CA0">
            <w:pPr>
              <w:pStyle w:val="TAC"/>
            </w:pPr>
            <w:r>
              <w:t>0.2</w:t>
            </w:r>
          </w:p>
        </w:tc>
      </w:tr>
      <w:tr w:rsidR="003324F7" w:rsidRPr="00A1115A" w14:paraId="752740C8" w14:textId="77777777" w:rsidTr="00325CA0">
        <w:trPr>
          <w:trHeight w:val="247"/>
          <w:jc w:val="center"/>
        </w:trPr>
        <w:tc>
          <w:tcPr>
            <w:tcW w:w="2517" w:type="dxa"/>
          </w:tcPr>
          <w:p w14:paraId="7AB1009C" w14:textId="77777777" w:rsidR="003324F7" w:rsidRPr="00A1115A" w:rsidRDefault="003324F7" w:rsidP="00325CA0">
            <w:pPr>
              <w:pStyle w:val="TAC"/>
            </w:pPr>
            <w:r w:rsidRPr="00A1115A">
              <w:t>± 1 - 5</w:t>
            </w:r>
          </w:p>
        </w:tc>
        <w:tc>
          <w:tcPr>
            <w:tcW w:w="3079" w:type="dxa"/>
          </w:tcPr>
          <w:p w14:paraId="73715B54" w14:textId="77777777" w:rsidR="003324F7" w:rsidRPr="00A1115A" w:rsidRDefault="003324F7" w:rsidP="00325CA0">
            <w:pPr>
              <w:pStyle w:val="TAC"/>
            </w:pPr>
            <w:r w:rsidRPr="00A1115A">
              <w:t>-10</w:t>
            </w:r>
          </w:p>
        </w:tc>
        <w:tc>
          <w:tcPr>
            <w:tcW w:w="2518" w:type="dxa"/>
          </w:tcPr>
          <w:p w14:paraId="5EC98CB1" w14:textId="47225A30" w:rsidR="003324F7" w:rsidRPr="00A1115A" w:rsidRDefault="003324F7" w:rsidP="00325CA0">
            <w:pPr>
              <w:pStyle w:val="TAC"/>
            </w:pPr>
            <w:r w:rsidRPr="00A1115A">
              <w:t>1</w:t>
            </w:r>
          </w:p>
        </w:tc>
      </w:tr>
      <w:tr w:rsidR="003324F7" w:rsidRPr="00A1115A" w14:paraId="2005ECD7" w14:textId="77777777" w:rsidTr="00325CA0">
        <w:trPr>
          <w:trHeight w:val="247"/>
          <w:jc w:val="center"/>
        </w:trPr>
        <w:tc>
          <w:tcPr>
            <w:tcW w:w="2517" w:type="dxa"/>
          </w:tcPr>
          <w:p w14:paraId="7DED3ABA" w14:textId="1A981A9D" w:rsidR="003324F7" w:rsidRPr="00A1115A" w:rsidRDefault="003324F7" w:rsidP="00325CA0">
            <w:pPr>
              <w:pStyle w:val="TAC"/>
            </w:pPr>
            <w:r w:rsidRPr="00A1115A">
              <w:t xml:space="preserve">± 5 – </w:t>
            </w:r>
            <w:r>
              <w:t>200</w:t>
            </w:r>
          </w:p>
        </w:tc>
        <w:tc>
          <w:tcPr>
            <w:tcW w:w="3079" w:type="dxa"/>
          </w:tcPr>
          <w:p w14:paraId="10F2FE5D" w14:textId="77777777" w:rsidR="003324F7" w:rsidRPr="00A1115A" w:rsidRDefault="003324F7" w:rsidP="00325CA0">
            <w:pPr>
              <w:pStyle w:val="TAC"/>
            </w:pPr>
            <w:r w:rsidRPr="00A1115A">
              <w:t>-13</w:t>
            </w:r>
          </w:p>
        </w:tc>
        <w:tc>
          <w:tcPr>
            <w:tcW w:w="2518" w:type="dxa"/>
          </w:tcPr>
          <w:p w14:paraId="5514F4F3" w14:textId="0BEAC226" w:rsidR="003324F7" w:rsidRPr="00A1115A" w:rsidRDefault="003324F7" w:rsidP="00325CA0">
            <w:pPr>
              <w:pStyle w:val="TAC"/>
            </w:pPr>
            <w:r w:rsidRPr="00A1115A">
              <w:t>1</w:t>
            </w:r>
          </w:p>
        </w:tc>
      </w:tr>
      <w:tr w:rsidR="003324F7" w:rsidRPr="00A1115A" w14:paraId="29DFE170" w14:textId="77777777" w:rsidTr="00325CA0">
        <w:trPr>
          <w:trHeight w:val="247"/>
          <w:jc w:val="center"/>
        </w:trPr>
        <w:tc>
          <w:tcPr>
            <w:tcW w:w="2517" w:type="dxa"/>
          </w:tcPr>
          <w:p w14:paraId="1E5BB06D" w14:textId="04B25C19" w:rsidR="003324F7" w:rsidRPr="00A1115A" w:rsidRDefault="003324F7" w:rsidP="00325CA0">
            <w:pPr>
              <w:pStyle w:val="TAC"/>
            </w:pPr>
            <w:r w:rsidRPr="00A1115A">
              <w:t>±</w:t>
            </w:r>
            <w:r>
              <w:t xml:space="preserve"> 200</w:t>
            </w:r>
            <w:r w:rsidRPr="00A1115A">
              <w:t xml:space="preserve"> – </w:t>
            </w:r>
            <w:r>
              <w:t>205</w:t>
            </w:r>
          </w:p>
        </w:tc>
        <w:tc>
          <w:tcPr>
            <w:tcW w:w="3079" w:type="dxa"/>
          </w:tcPr>
          <w:p w14:paraId="3E8C018A" w14:textId="77777777" w:rsidR="003324F7" w:rsidRPr="00A1115A" w:rsidRDefault="003324F7" w:rsidP="00325CA0">
            <w:pPr>
              <w:pStyle w:val="TAC"/>
            </w:pPr>
            <w:r w:rsidRPr="00A1115A">
              <w:t>-25</w:t>
            </w:r>
          </w:p>
        </w:tc>
        <w:tc>
          <w:tcPr>
            <w:tcW w:w="2518" w:type="dxa"/>
          </w:tcPr>
          <w:p w14:paraId="1C23F0F6" w14:textId="4826F60F" w:rsidR="003324F7" w:rsidRPr="00A1115A" w:rsidRDefault="003324F7" w:rsidP="00325CA0">
            <w:pPr>
              <w:pStyle w:val="TAC"/>
            </w:pPr>
            <w:r w:rsidRPr="00A1115A">
              <w:t>1</w:t>
            </w:r>
          </w:p>
        </w:tc>
      </w:tr>
    </w:tbl>
    <w:p w14:paraId="0CD857E3" w14:textId="77777777" w:rsidR="003324F7" w:rsidRPr="00A1115A" w:rsidRDefault="003324F7" w:rsidP="003324F7"/>
    <w:p w14:paraId="7F9DEAE7" w14:textId="6323C49F" w:rsidR="00A375FC" w:rsidRDefault="00A375FC" w:rsidP="00A375FC">
      <w:pPr>
        <w:pStyle w:val="RAN4proposal"/>
        <w:rPr>
          <w:lang w:val="en-US"/>
        </w:rPr>
      </w:pPr>
      <w:bookmarkStart w:id="6" w:name="_Toc181743801"/>
      <w:r>
        <w:rPr>
          <w:lang w:val="en-US"/>
        </w:rPr>
        <w:t>Emission mask up to 100 MHz channel bandwidth is defined in TS 38.101-1 clause 6.5.2.2. For wider channel bandwidth</w:t>
      </w:r>
      <w:r w:rsidR="006E43E9">
        <w:rPr>
          <w:lang w:val="en-US"/>
        </w:rPr>
        <w:t xml:space="preserve">, </w:t>
      </w:r>
      <w:r>
        <w:rPr>
          <w:lang w:val="en-US"/>
        </w:rPr>
        <w:t>TS 38.101-1 clause 6.5A.2.2</w:t>
      </w:r>
      <w:r w:rsidR="006E43E9">
        <w:rPr>
          <w:lang w:val="en-US"/>
        </w:rPr>
        <w:t xml:space="preserve"> is referred</w:t>
      </w:r>
      <w:r>
        <w:rPr>
          <w:lang w:val="en-US"/>
        </w:rPr>
        <w:t>.</w:t>
      </w:r>
      <w:bookmarkEnd w:id="6"/>
    </w:p>
    <w:p w14:paraId="3FB468C6" w14:textId="77777777" w:rsidR="00A375FC" w:rsidRDefault="00A375FC" w:rsidP="0071007E">
      <w:pPr>
        <w:rPr>
          <w:lang w:val="en-US"/>
        </w:rPr>
      </w:pPr>
    </w:p>
    <w:p w14:paraId="102B7F76" w14:textId="3DC27AE1" w:rsidR="00A375FC" w:rsidRDefault="00A375FC" w:rsidP="00A375FC">
      <w:pPr>
        <w:rPr>
          <w:rFonts w:eastAsiaTheme="minorEastAsia"/>
          <w:lang w:val="en-US" w:eastAsia="ja-JP"/>
        </w:rPr>
      </w:pPr>
      <w:r w:rsidRPr="00710C76">
        <w:rPr>
          <w:rFonts w:eastAsiaTheme="minorEastAsia"/>
          <w:b/>
          <w:bCs/>
          <w:i/>
          <w:iCs/>
          <w:noProof/>
          <w:lang w:val="en-US" w:eastAsia="ja-JP"/>
        </w:rPr>
        <mc:AlternateContent>
          <mc:Choice Requires="wps">
            <w:drawing>
              <wp:anchor distT="45720" distB="45720" distL="114300" distR="114300" simplePos="0" relativeHeight="251676672" behindDoc="0" locked="0" layoutInCell="1" allowOverlap="1" wp14:anchorId="0AF1EC1B" wp14:editId="7DFB7A62">
                <wp:simplePos x="0" y="0"/>
                <wp:positionH relativeFrom="margin">
                  <wp:align>right</wp:align>
                </wp:positionH>
                <wp:positionV relativeFrom="paragraph">
                  <wp:posOffset>246176</wp:posOffset>
                </wp:positionV>
                <wp:extent cx="6098540" cy="753110"/>
                <wp:effectExtent l="0" t="0" r="16510" b="27940"/>
                <wp:wrapSquare wrapText="bothSides"/>
                <wp:docPr id="3137325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53110"/>
                        </a:xfrm>
                        <a:prstGeom prst="rect">
                          <a:avLst/>
                        </a:prstGeom>
                        <a:solidFill>
                          <a:srgbClr val="FFFFFF"/>
                        </a:solidFill>
                        <a:ln w="9525">
                          <a:solidFill>
                            <a:srgbClr val="000000"/>
                          </a:solidFill>
                          <a:miter lim="800000"/>
                          <a:headEnd/>
                          <a:tailEnd/>
                        </a:ln>
                      </wps:spPr>
                      <wps:txbx>
                        <w:txbxContent>
                          <w:p w14:paraId="590556A6" w14:textId="77777777" w:rsidR="00A375FC" w:rsidRPr="00D41E30" w:rsidRDefault="00A375FC" w:rsidP="00A375FC">
                            <w:pPr>
                              <w:pStyle w:val="BodyText"/>
                              <w:rPr>
                                <w:b/>
                                <w:u w:val="single"/>
                                <w:lang w:val="en-GB"/>
                              </w:rPr>
                            </w:pPr>
                            <w:r w:rsidRPr="00D41E30">
                              <w:rPr>
                                <w:b/>
                                <w:u w:val="single"/>
                                <w:lang w:val="en-GB"/>
                              </w:rPr>
                              <w:t>Blocking and spurious response</w:t>
                            </w:r>
                          </w:p>
                          <w:p w14:paraId="3CD9F226" w14:textId="77777777" w:rsidR="00A375FC" w:rsidRPr="00D41E30" w:rsidRDefault="00A375FC" w:rsidP="00C83CBD">
                            <w:pPr>
                              <w:pStyle w:val="BodyText"/>
                              <w:numPr>
                                <w:ilvl w:val="5"/>
                                <w:numId w:val="13"/>
                              </w:numPr>
                              <w:rPr>
                                <w:b/>
                                <w:u w:val="single"/>
                              </w:rPr>
                            </w:pPr>
                            <w:r w:rsidRPr="006064A4">
                              <w:rPr>
                                <w:lang w:val="en-GB"/>
                              </w:rPr>
                              <w:t>FFS if RAN4 to consider the blocking characteristic specified in clause 7.6 of TS 38.101-1 for frequency larger than 3300 MHz could be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F1EC1B" id="_x0000_s1029" type="#_x0000_t202" style="position:absolute;margin-left:429pt;margin-top:19.4pt;width:480.2pt;height:59.3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">
                <v:textbox>
                  <w:txbxContent>
                    <w:p w14:paraId="590556A6" w14:textId="77777777" w:rsidR="00A375FC" w:rsidRPr="00D41E30" w:rsidRDefault="00A375FC" w:rsidP="00A375FC">
                      <w:pPr>
                        <w:pStyle w:val="BodyText"/>
                        <w:rPr>
                          <w:b/>
                          <w:u w:val="single"/>
                          <w:lang w:val="en-GB"/>
                        </w:rPr>
                      </w:pPr>
                      <w:r w:rsidRPr="00D41E30">
                        <w:rPr>
                          <w:b/>
                          <w:u w:val="single"/>
                          <w:lang w:val="en-GB"/>
                        </w:rPr>
                        <w:t>Blocking and spurious response</w:t>
                      </w:r>
                    </w:p>
                    <w:p w14:paraId="3CD9F226" w14:textId="77777777" w:rsidR="00A375FC" w:rsidRPr="00D41E30" w:rsidRDefault="00A375FC" w:rsidP="00C83CBD">
                      <w:pPr>
                        <w:pStyle w:val="BodyText"/>
                        <w:numPr>
                          <w:ilvl w:val="5"/>
                          <w:numId w:val="13"/>
                        </w:numPr>
                        <w:rPr>
                          <w:b/>
                          <w:u w:val="single"/>
                        </w:rPr>
                      </w:pPr>
                      <w:r w:rsidRPr="006064A4">
                        <w:rPr>
                          <w:lang w:val="en-GB"/>
                        </w:rPr>
                        <w:t>FFS if RAN4 to consider the blocking characteristic specified in clause 7.6 of TS 38.101-1 for frequency larger than 3300 MHz could be applied.</w:t>
                      </w:r>
                    </w:p>
                  </w:txbxContent>
                </v:textbox>
                <w10:wrap type="square" anchorx="margin"/>
              </v:shape>
            </w:pict>
          </mc:Fallback>
        </mc:AlternateContent>
      </w:r>
      <w:r>
        <w:rPr>
          <w:rFonts w:eastAsiaTheme="minorEastAsia" w:hint="eastAsia"/>
          <w:lang w:val="en-US" w:eastAsia="ja-JP"/>
        </w:rPr>
        <w:t>In the WF in RAN4#11</w:t>
      </w:r>
      <w:r>
        <w:rPr>
          <w:rFonts w:eastAsiaTheme="minorEastAsia"/>
          <w:lang w:val="en-US" w:eastAsia="ja-JP"/>
        </w:rPr>
        <w:t>2-bis</w:t>
      </w:r>
      <w:r w:rsidR="006F6C6A">
        <w:rPr>
          <w:rFonts w:eastAsiaTheme="minorEastAsia"/>
          <w:lang w:val="en-US" w:eastAsia="ja-JP"/>
        </w:rPr>
        <w:t xml:space="preserve"> </w:t>
      </w:r>
      <w:r w:rsidR="006F6C6A">
        <w:rPr>
          <w:rFonts w:eastAsiaTheme="minorEastAsia"/>
          <w:lang w:val="en-US" w:eastAsia="ja-JP"/>
        </w:rPr>
        <w:fldChar w:fldCharType="begin"/>
      </w:r>
      <w:r w:rsidR="006F6C6A">
        <w:rPr>
          <w:rFonts w:eastAsiaTheme="minorEastAsia"/>
          <w:lang w:val="en-US" w:eastAsia="ja-JP"/>
        </w:rPr>
        <w:instrText xml:space="preserve"> REF _Ref181632554 \r \h </w:instrText>
      </w:r>
      <w:r w:rsidR="006F6C6A">
        <w:rPr>
          <w:rFonts w:eastAsiaTheme="minorEastAsia"/>
          <w:lang w:val="en-US" w:eastAsia="ja-JP"/>
        </w:rPr>
      </w:r>
      <w:r w:rsidR="006F6C6A">
        <w:rPr>
          <w:rFonts w:eastAsiaTheme="minorEastAsia"/>
          <w:lang w:val="en-US" w:eastAsia="ja-JP"/>
        </w:rPr>
        <w:fldChar w:fldCharType="separate"/>
      </w:r>
      <w:r w:rsidR="006F6C6A">
        <w:rPr>
          <w:rFonts w:eastAsiaTheme="minorEastAsia"/>
          <w:lang w:val="en-US" w:eastAsia="ja-JP"/>
        </w:rPr>
        <w:t>[6]</w:t>
      </w:r>
      <w:r w:rsidR="006F6C6A">
        <w:rPr>
          <w:rFonts w:eastAsiaTheme="minorEastAsia"/>
          <w:lang w:val="en-US" w:eastAsia="ja-JP"/>
        </w:rPr>
        <w:fldChar w:fldCharType="end"/>
      </w:r>
      <w:r>
        <w:rPr>
          <w:rFonts w:eastAsiaTheme="minorEastAsia" w:hint="eastAsia"/>
          <w:lang w:val="en-US" w:eastAsia="ja-JP"/>
        </w:rPr>
        <w:t xml:space="preserve">, </w:t>
      </w:r>
      <w:r>
        <w:rPr>
          <w:rFonts w:eastAsiaTheme="minorEastAsia"/>
          <w:lang w:val="en-US" w:eastAsia="ja-JP"/>
        </w:rPr>
        <w:t>the following agreement was made for the blocking and spurious response.</w:t>
      </w:r>
    </w:p>
    <w:p w14:paraId="27A99723" w14:textId="3240CBEB" w:rsidR="0071007E" w:rsidRPr="009E2671" w:rsidRDefault="00A375FC" w:rsidP="0071007E">
      <w:pPr>
        <w:rPr>
          <w:lang w:val="en-US"/>
        </w:rPr>
      </w:pPr>
      <w:r>
        <w:rPr>
          <w:lang w:val="en-US"/>
        </w:rPr>
        <w:t>T</w:t>
      </w:r>
      <w:r w:rsidR="006F78D3">
        <w:rPr>
          <w:lang w:val="en-US"/>
        </w:rPr>
        <w:t xml:space="preserve">he blocking </w:t>
      </w:r>
      <w:r>
        <w:rPr>
          <w:lang w:val="en-US"/>
        </w:rPr>
        <w:t xml:space="preserve">and spurious </w:t>
      </w:r>
      <w:r w:rsidR="006F78D3">
        <w:rPr>
          <w:lang w:val="en-US"/>
        </w:rPr>
        <w:t>response</w:t>
      </w:r>
      <w:r w:rsidR="00C62EDB">
        <w:rPr>
          <w:lang w:val="en-US"/>
        </w:rPr>
        <w:t xml:space="preserve"> characteristics</w:t>
      </w:r>
      <w:r w:rsidR="006F78D3">
        <w:rPr>
          <w:lang w:val="en-US"/>
        </w:rPr>
        <w:t xml:space="preserve">, </w:t>
      </w:r>
      <w:r w:rsidR="003F3365">
        <w:rPr>
          <w:lang w:val="en-US"/>
        </w:rPr>
        <w:t xml:space="preserve">i.e., </w:t>
      </w:r>
      <w:r w:rsidR="006F78D3">
        <w:rPr>
          <w:lang w:val="en-US"/>
        </w:rPr>
        <w:t>in-band</w:t>
      </w:r>
      <w:r>
        <w:rPr>
          <w:lang w:val="en-US"/>
        </w:rPr>
        <w:t xml:space="preserve"> blocking</w:t>
      </w:r>
      <w:r w:rsidR="00C62EDB">
        <w:rPr>
          <w:lang w:val="en-US"/>
        </w:rPr>
        <w:t xml:space="preserve">, </w:t>
      </w:r>
      <w:r w:rsidR="006F78D3">
        <w:rPr>
          <w:lang w:val="en-US"/>
        </w:rPr>
        <w:t xml:space="preserve">out-of-band blocking </w:t>
      </w:r>
      <w:r w:rsidR="00C62EDB">
        <w:rPr>
          <w:lang w:val="en-US"/>
        </w:rPr>
        <w:t xml:space="preserve">and spurious response </w:t>
      </w:r>
      <w:r w:rsidR="006F78D3">
        <w:rPr>
          <w:lang w:val="en-US"/>
        </w:rPr>
        <w:t xml:space="preserve">for high </w:t>
      </w:r>
      <w:r w:rsidR="00C62EDB">
        <w:rPr>
          <w:lang w:val="en-US"/>
        </w:rPr>
        <w:t xml:space="preserve">NR </w:t>
      </w:r>
      <w:r w:rsidR="006F78D3">
        <w:rPr>
          <w:lang w:val="en-US"/>
        </w:rPr>
        <w:t>band</w:t>
      </w:r>
      <w:r w:rsidR="00C62EDB">
        <w:rPr>
          <w:lang w:val="en-US"/>
        </w:rPr>
        <w:t xml:space="preserve"> CA</w:t>
      </w:r>
      <w:r w:rsidR="006F78D3">
        <w:rPr>
          <w:lang w:val="en-US"/>
        </w:rPr>
        <w:t xml:space="preserve"> </w:t>
      </w:r>
      <w:r w:rsidR="00C62EDB">
        <w:rPr>
          <w:lang w:val="en-US"/>
        </w:rPr>
        <w:t xml:space="preserve">(n77, n78 and n79) </w:t>
      </w:r>
      <w:r w:rsidR="006F78D3">
        <w:rPr>
          <w:lang w:val="en-US"/>
        </w:rPr>
        <w:t xml:space="preserve">are specified in </w:t>
      </w:r>
      <w:r>
        <w:rPr>
          <w:lang w:val="en-US"/>
        </w:rPr>
        <w:t xml:space="preserve">TS 38.101-1 </w:t>
      </w:r>
      <w:r w:rsidR="006F78D3">
        <w:rPr>
          <w:lang w:val="en-US"/>
        </w:rPr>
        <w:t>clause 7.6A.2.1</w:t>
      </w:r>
      <w:r w:rsidR="00C62EDB">
        <w:rPr>
          <w:lang w:val="en-US"/>
        </w:rPr>
        <w:t xml:space="preserve">, </w:t>
      </w:r>
      <w:r w:rsidR="006F78D3">
        <w:rPr>
          <w:lang w:val="en-US"/>
        </w:rPr>
        <w:t>7.6A3.1</w:t>
      </w:r>
      <w:r w:rsidR="00C62EDB">
        <w:rPr>
          <w:lang w:val="en-US"/>
        </w:rPr>
        <w:t xml:space="preserve"> and 7.7A.1</w:t>
      </w:r>
      <w:r w:rsidR="006F78D3">
        <w:rPr>
          <w:lang w:val="en-US"/>
        </w:rPr>
        <w:t>. The tables 7.6A.2.1-1, 7.6A.2.1-2, 7.6A3-1</w:t>
      </w:r>
      <w:r w:rsidR="00C62EDB">
        <w:rPr>
          <w:lang w:val="en-US"/>
        </w:rPr>
        <w:t>,</w:t>
      </w:r>
      <w:r w:rsidR="006F78D3">
        <w:rPr>
          <w:lang w:val="en-US"/>
        </w:rPr>
        <w:t xml:space="preserve"> 7.6A.3-2</w:t>
      </w:r>
      <w:r w:rsidR="00C62EDB">
        <w:rPr>
          <w:lang w:val="en-US"/>
        </w:rPr>
        <w:t>, 7.7A-1, and 7.7A-2</w:t>
      </w:r>
      <w:r w:rsidR="006F78D3">
        <w:rPr>
          <w:lang w:val="en-US"/>
        </w:rPr>
        <w:t xml:space="preserve"> specify the </w:t>
      </w:r>
      <w:r w:rsidR="00C62EDB">
        <w:rPr>
          <w:lang w:val="en-US"/>
        </w:rPr>
        <w:t>parameters and requirements</w:t>
      </w:r>
      <w:r w:rsidR="006F78D3">
        <w:rPr>
          <w:lang w:val="en-US"/>
        </w:rPr>
        <w:t>.</w:t>
      </w:r>
      <w:r w:rsidR="00C62EDB">
        <w:rPr>
          <w:lang w:val="en-US"/>
        </w:rPr>
        <w:t xml:space="preserve"> They can be the baseline for the requirement of 200 MHz channel bandwidth in the 15 GHz band, assuming </w:t>
      </w:r>
      <w:r w:rsidR="006F78D3">
        <w:rPr>
          <w:lang w:val="en-US"/>
        </w:rPr>
        <w:t xml:space="preserve">NR CA bandwidth class C with </w:t>
      </w:r>
      <w:proofErr w:type="spellStart"/>
      <w:r w:rsidR="006F78D3" w:rsidRPr="00A1115A">
        <w:t>BW</w:t>
      </w:r>
      <w:r w:rsidR="006F78D3" w:rsidRPr="00A1115A">
        <w:rPr>
          <w:vertAlign w:val="subscript"/>
        </w:rPr>
        <w:t>channel</w:t>
      </w:r>
      <w:proofErr w:type="spellEnd"/>
      <w:r w:rsidR="006F78D3" w:rsidRPr="00A1115A">
        <w:rPr>
          <w:vertAlign w:val="subscript"/>
        </w:rPr>
        <w:t xml:space="preserve"> CA</w:t>
      </w:r>
      <w:r w:rsidR="006F78D3">
        <w:rPr>
          <w:lang w:val="en-US"/>
        </w:rPr>
        <w:t xml:space="preserve">=200 </w:t>
      </w:r>
      <w:proofErr w:type="spellStart"/>
      <w:r w:rsidR="006F78D3">
        <w:rPr>
          <w:lang w:val="en-US"/>
        </w:rPr>
        <w:t>MHz</w:t>
      </w:r>
      <w:r w:rsidR="00C62EDB">
        <w:rPr>
          <w:lang w:val="en-US"/>
        </w:rPr>
        <w:t>.</w:t>
      </w:r>
      <w:proofErr w:type="spellEnd"/>
    </w:p>
    <w:p w14:paraId="2174656F" w14:textId="25DB30E5" w:rsidR="0071007E" w:rsidRDefault="00A375FC" w:rsidP="006F78D3">
      <w:pPr>
        <w:pStyle w:val="RAN4proposal"/>
        <w:rPr>
          <w:lang w:val="en-US" w:eastAsia="ja-JP"/>
        </w:rPr>
      </w:pPr>
      <w:bookmarkStart w:id="7" w:name="_Toc181743802"/>
      <w:r>
        <w:rPr>
          <w:lang w:val="en-US" w:eastAsia="ja-JP"/>
        </w:rPr>
        <w:t xml:space="preserve">Blocking and spurious response up to 100 MHz channel bandwidth is specified in clause 7.6 of TS 38.101-1. </w:t>
      </w:r>
      <w:r w:rsidR="006F78D3">
        <w:rPr>
          <w:lang w:val="en-US" w:eastAsia="ja-JP"/>
        </w:rPr>
        <w:t xml:space="preserve">For </w:t>
      </w:r>
      <w:r>
        <w:rPr>
          <w:lang w:val="en-US" w:eastAsia="ja-JP"/>
        </w:rPr>
        <w:t>wider</w:t>
      </w:r>
      <w:r w:rsidR="006F78D3">
        <w:rPr>
          <w:lang w:val="en-US" w:eastAsia="ja-JP"/>
        </w:rPr>
        <w:t xml:space="preserve"> channel bandwidth, the aggregated channel bandwidth of NR intra-band contiguous CA</w:t>
      </w:r>
      <w:r w:rsidR="00C62EDB">
        <w:rPr>
          <w:lang w:val="en-US" w:eastAsia="ja-JP"/>
        </w:rPr>
        <w:t xml:space="preserve"> </w:t>
      </w:r>
      <w:r w:rsidR="004D1091">
        <w:rPr>
          <w:lang w:val="en-US" w:eastAsia="ja-JP"/>
        </w:rPr>
        <w:t xml:space="preserve">with </w:t>
      </w:r>
      <w:r w:rsidR="00C62EDB">
        <w:rPr>
          <w:lang w:val="en-US" w:eastAsia="ja-JP"/>
        </w:rPr>
        <w:t>bandwidth class C</w:t>
      </w:r>
      <w:r w:rsidR="003F3365">
        <w:rPr>
          <w:lang w:val="en-US" w:eastAsia="ja-JP"/>
        </w:rPr>
        <w:t xml:space="preserve"> in clause 7.6A.2.1, 7.6A3.1 and 7.7A.1 is referred</w:t>
      </w:r>
      <w:r w:rsidR="006F78D3">
        <w:rPr>
          <w:lang w:val="en-US" w:eastAsia="ja-JP"/>
        </w:rPr>
        <w:t>.</w:t>
      </w:r>
      <w:bookmarkEnd w:id="7"/>
      <w:r w:rsidR="006F78D3">
        <w:rPr>
          <w:lang w:val="en-US" w:eastAsia="ja-JP"/>
        </w:rPr>
        <w:t xml:space="preserve"> </w:t>
      </w:r>
    </w:p>
    <w:p w14:paraId="7A9CF520" w14:textId="4429E214" w:rsidR="0071007E" w:rsidRDefault="00C62EDB" w:rsidP="0071007E">
      <w:pPr>
        <w:rPr>
          <w:rFonts w:eastAsiaTheme="minorEastAsia"/>
          <w:lang w:val="en-US" w:eastAsia="ja-JP"/>
        </w:rPr>
      </w:pPr>
      <w:r>
        <w:rPr>
          <w:rFonts w:eastAsiaTheme="minorEastAsia"/>
          <w:lang w:val="en-US" w:eastAsia="ja-JP"/>
        </w:rPr>
        <w:t xml:space="preserve">For the base station side, the current </w:t>
      </w:r>
      <w:r w:rsidR="00175518">
        <w:rPr>
          <w:rFonts w:eastAsiaTheme="minorEastAsia"/>
          <w:lang w:val="en-US" w:eastAsia="ja-JP"/>
        </w:rPr>
        <w:t>assumption</w:t>
      </w:r>
      <w:r>
        <w:rPr>
          <w:rFonts w:eastAsiaTheme="minorEastAsia"/>
          <w:lang w:val="en-US" w:eastAsia="ja-JP"/>
        </w:rPr>
        <w:t xml:space="preserve"> to reuse FR1 requirement is also applicable to multicarrier </w:t>
      </w:r>
      <w:r w:rsidR="00175518">
        <w:rPr>
          <w:rFonts w:eastAsiaTheme="minorEastAsia"/>
          <w:lang w:val="en-US" w:eastAsia="ja-JP"/>
        </w:rPr>
        <w:t>operation wider than 100 MHz channel bandwidth</w:t>
      </w:r>
      <w:r>
        <w:rPr>
          <w:rFonts w:eastAsiaTheme="minorEastAsia"/>
          <w:lang w:val="en-US" w:eastAsia="ja-JP"/>
        </w:rPr>
        <w:t xml:space="preserve">. </w:t>
      </w:r>
      <w:r w:rsidR="00175518">
        <w:rPr>
          <w:rFonts w:eastAsiaTheme="minorEastAsia"/>
          <w:lang w:val="en-US" w:eastAsia="ja-JP"/>
        </w:rPr>
        <w:t>N</w:t>
      </w:r>
      <w:r>
        <w:rPr>
          <w:rFonts w:eastAsiaTheme="minorEastAsia"/>
          <w:lang w:val="en-US" w:eastAsia="ja-JP"/>
        </w:rPr>
        <w:t>o additional clarification to assume aggregated channel bandwidth is needed</w:t>
      </w:r>
      <w:r w:rsidR="00175518">
        <w:rPr>
          <w:rFonts w:eastAsiaTheme="minorEastAsia"/>
          <w:lang w:val="en-US" w:eastAsia="ja-JP"/>
        </w:rPr>
        <w:t xml:space="preserve"> for 200 MHz channel bandwidth</w:t>
      </w:r>
      <w:r>
        <w:rPr>
          <w:rFonts w:eastAsiaTheme="minorEastAsia"/>
          <w:lang w:val="en-US" w:eastAsia="ja-JP"/>
        </w:rPr>
        <w:t>.</w:t>
      </w:r>
    </w:p>
    <w:p w14:paraId="4EB1063C" w14:textId="7B01B6A3" w:rsidR="004D1091" w:rsidRDefault="004D1091" w:rsidP="004D1091">
      <w:pPr>
        <w:pStyle w:val="RAN4observation0"/>
        <w:rPr>
          <w:b/>
          <w:bCs/>
          <w:lang w:val="en-US" w:eastAsia="ja-JP"/>
        </w:rPr>
      </w:pPr>
      <w:bookmarkStart w:id="8" w:name="_Toc181743803"/>
      <w:r w:rsidRPr="004D1091">
        <w:rPr>
          <w:b/>
          <w:bCs/>
          <w:lang w:val="en-US" w:eastAsia="ja-JP"/>
        </w:rPr>
        <w:t>No additional clarification is needed for channel bandwidth wider than 100 MHz for BS.</w:t>
      </w:r>
      <w:bookmarkEnd w:id="8"/>
    </w:p>
    <w:p w14:paraId="2537F509" w14:textId="5654B1A2" w:rsidR="004D1091" w:rsidRPr="004D1091" w:rsidRDefault="004D1091" w:rsidP="004D1091">
      <w:pPr>
        <w:rPr>
          <w:lang w:val="en-US" w:eastAsia="ja-JP"/>
        </w:rPr>
      </w:pPr>
      <w:r>
        <w:rPr>
          <w:lang w:val="en-US" w:eastAsia="ja-JP"/>
        </w:rPr>
        <w:lastRenderedPageBreak/>
        <w:t>In conclusion, we have no practical issue to assume 200 MHz typical channel bandwidth. Therefore, we propose 200 MHz is concluded as the typical maximum channel bandwidth for 14800 – 15350 MHz in the LS reply to WP5D.</w:t>
      </w:r>
    </w:p>
    <w:p w14:paraId="3C6E03E1" w14:textId="77777777" w:rsidR="00A375FC" w:rsidRPr="009E2671" w:rsidRDefault="00A375FC" w:rsidP="00A375FC">
      <w:pPr>
        <w:pStyle w:val="RAN4proposal"/>
        <w:rPr>
          <w:lang w:val="en-US"/>
        </w:rPr>
      </w:pPr>
      <w:bookmarkStart w:id="9" w:name="_Toc181743804"/>
      <w:r w:rsidRPr="009E2671">
        <w:rPr>
          <w:rFonts w:hint="eastAsia"/>
          <w:lang w:val="en-US" w:eastAsia="ja-JP"/>
        </w:rPr>
        <w:t>200</w:t>
      </w:r>
      <w:r w:rsidRPr="009E2671">
        <w:rPr>
          <w:rFonts w:hint="eastAsia"/>
          <w:lang w:val="en-US"/>
        </w:rPr>
        <w:t xml:space="preserve"> MHz </w:t>
      </w:r>
      <w:r w:rsidRPr="009E2671">
        <w:rPr>
          <w:rFonts w:hint="eastAsia"/>
          <w:lang w:val="en-US" w:eastAsia="ja-JP"/>
        </w:rPr>
        <w:t>is</w:t>
      </w:r>
      <w:r w:rsidRPr="009E2671">
        <w:rPr>
          <w:rFonts w:hint="eastAsia"/>
          <w:lang w:val="en-US"/>
        </w:rPr>
        <w:t xml:space="preserve"> </w:t>
      </w:r>
      <w:r>
        <w:rPr>
          <w:lang w:val="en-US"/>
        </w:rPr>
        <w:t>communicated to WP5D as the</w:t>
      </w:r>
      <w:r w:rsidRPr="009E2671">
        <w:rPr>
          <w:rFonts w:hint="eastAsia"/>
          <w:lang w:val="en-US"/>
        </w:rPr>
        <w:t xml:space="preserve"> typical maximum channel bandwidth for 14800 </w:t>
      </w:r>
      <w:r w:rsidRPr="009E2671">
        <w:rPr>
          <w:lang w:val="en-US"/>
        </w:rPr>
        <w:t>–</w:t>
      </w:r>
      <w:r w:rsidRPr="009E2671">
        <w:rPr>
          <w:rFonts w:hint="eastAsia"/>
          <w:lang w:val="en-US"/>
        </w:rPr>
        <w:t xml:space="preserve"> 15350 MHz</w:t>
      </w:r>
      <w:r>
        <w:rPr>
          <w:lang w:val="en-US"/>
        </w:rPr>
        <w:t xml:space="preserve"> in the LS reply</w:t>
      </w:r>
      <w:r w:rsidRPr="009E2671">
        <w:rPr>
          <w:rFonts w:hint="eastAsia"/>
          <w:lang w:val="en-US"/>
        </w:rPr>
        <w:t>.</w:t>
      </w:r>
      <w:bookmarkEnd w:id="9"/>
    </w:p>
    <w:p w14:paraId="48C52447" w14:textId="77777777" w:rsidR="00C62EDB" w:rsidRDefault="00C62EDB" w:rsidP="0071007E">
      <w:pPr>
        <w:rPr>
          <w:rFonts w:eastAsiaTheme="minorEastAsia"/>
          <w:b/>
          <w:bCs/>
          <w:u w:val="single"/>
          <w:lang w:val="en-US" w:eastAsia="ja-JP"/>
        </w:rPr>
      </w:pPr>
    </w:p>
    <w:p w14:paraId="7274D8D0" w14:textId="77777777" w:rsidR="0071007E" w:rsidRPr="009E2671" w:rsidRDefault="0071007E" w:rsidP="0071007E">
      <w:pPr>
        <w:rPr>
          <w:rFonts w:eastAsiaTheme="minorEastAsia"/>
          <w:b/>
          <w:bCs/>
          <w:u w:val="single"/>
          <w:lang w:val="en-US" w:eastAsia="ja-JP"/>
        </w:rPr>
      </w:pPr>
      <w:r w:rsidRPr="009E2671">
        <w:rPr>
          <w:rFonts w:eastAsiaTheme="minorEastAsia" w:hint="eastAsia"/>
          <w:b/>
          <w:bCs/>
          <w:u w:val="single"/>
          <w:lang w:val="en-US" w:eastAsia="ja-JP"/>
        </w:rPr>
        <w:t xml:space="preserve">UE </w:t>
      </w:r>
      <w:r w:rsidRPr="009E2671">
        <w:rPr>
          <w:rFonts w:eastAsiaTheme="minorEastAsia" w:hint="eastAsia"/>
          <w:b/>
          <w:bCs/>
          <w:u w:val="single"/>
          <w:lang w:val="en-US"/>
        </w:rPr>
        <w:t>Noise Figure</w:t>
      </w:r>
    </w:p>
    <w:p w14:paraId="596DB178" w14:textId="68F0D1D1" w:rsidR="0071007E" w:rsidRDefault="0071007E" w:rsidP="0071007E">
      <w:pPr>
        <w:rPr>
          <w:rFonts w:eastAsiaTheme="minorEastAsia"/>
          <w:lang w:val="en-US" w:eastAsia="ja-JP"/>
        </w:rPr>
      </w:pPr>
      <w:r w:rsidRPr="00A77BE4">
        <w:rPr>
          <w:rFonts w:eastAsiaTheme="minorEastAsia"/>
          <w:b/>
          <w:bCs/>
          <w:noProof/>
          <w:u w:val="single"/>
          <w:lang w:val="en-US" w:eastAsia="ja-JP"/>
        </w:rPr>
        <mc:AlternateContent>
          <mc:Choice Requires="wps">
            <w:drawing>
              <wp:anchor distT="45720" distB="45720" distL="114300" distR="114300" simplePos="0" relativeHeight="251663360" behindDoc="0" locked="0" layoutInCell="1" allowOverlap="1" wp14:anchorId="02EFD1CC" wp14:editId="36092749">
                <wp:simplePos x="0" y="0"/>
                <wp:positionH relativeFrom="margin">
                  <wp:align>left</wp:align>
                </wp:positionH>
                <wp:positionV relativeFrom="paragraph">
                  <wp:posOffset>269672</wp:posOffset>
                </wp:positionV>
                <wp:extent cx="6360795" cy="869950"/>
                <wp:effectExtent l="0" t="0" r="20955" b="25400"/>
                <wp:wrapSquare wrapText="bothSides"/>
                <wp:docPr id="17150709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869950"/>
                        </a:xfrm>
                        <a:prstGeom prst="rect">
                          <a:avLst/>
                        </a:prstGeom>
                        <a:solidFill>
                          <a:srgbClr val="FFFFFF"/>
                        </a:solidFill>
                        <a:ln w="9525">
                          <a:solidFill>
                            <a:srgbClr val="000000"/>
                          </a:solidFill>
                          <a:miter lim="800000"/>
                          <a:headEnd/>
                          <a:tailEnd/>
                        </a:ln>
                      </wps:spPr>
                      <wps:txbx>
                        <w:txbxContent>
                          <w:p w14:paraId="40C5B091" w14:textId="77777777" w:rsidR="00387024" w:rsidRPr="006064A4" w:rsidRDefault="00387024" w:rsidP="00387024">
                            <w:pPr>
                              <w:rPr>
                                <w:rFonts w:ascii="Arial" w:hAnsi="Arial" w:cs="Arial"/>
                                <w:b/>
                                <w:u w:val="single"/>
                                <w:lang w:eastAsia="ja-JP"/>
                              </w:rPr>
                            </w:pPr>
                            <w:r w:rsidRPr="006064A4">
                              <w:rPr>
                                <w:rFonts w:ascii="Arial" w:hAnsi="Arial" w:cs="Arial"/>
                                <w:b/>
                                <w:u w:val="single"/>
                                <w:lang w:eastAsia="ja-JP"/>
                              </w:rPr>
                              <w:t>Noise figure</w:t>
                            </w:r>
                          </w:p>
                          <w:p w14:paraId="7B137826" w14:textId="77777777" w:rsidR="00387024" w:rsidRDefault="00387024" w:rsidP="00C83CBD">
                            <w:pPr>
                              <w:pStyle w:val="ListParagraph"/>
                              <w:numPr>
                                <w:ilvl w:val="0"/>
                                <w:numId w:val="10"/>
                              </w:numPr>
                              <w:spacing w:after="0"/>
                              <w:contextualSpacing w:val="0"/>
                              <w:rPr>
                                <w:rFonts w:ascii="Arial" w:eastAsiaTheme="minorHAnsi" w:hAnsi="Arial"/>
                                <w:lang w:eastAsia="ja-JP"/>
                              </w:rPr>
                            </w:pPr>
                            <w:r w:rsidRPr="00E51419">
                              <w:rPr>
                                <w:rFonts w:ascii="Arial" w:eastAsiaTheme="minorHAnsi" w:hAnsi="Arial"/>
                                <w:lang w:eastAsia="ja-JP"/>
                              </w:rPr>
                              <w:t>For LS to ITU, noise figure is [13]</w:t>
                            </w:r>
                            <w:r>
                              <w:rPr>
                                <w:rFonts w:ascii="Arial" w:eastAsiaTheme="minorHAnsi" w:hAnsi="Arial"/>
                                <w:lang w:eastAsia="ja-JP"/>
                              </w:rPr>
                              <w:t xml:space="preserve"> </w:t>
                            </w:r>
                            <w:r w:rsidRPr="00E51419">
                              <w:rPr>
                                <w:rFonts w:ascii="Arial" w:eastAsiaTheme="minorHAnsi" w:hAnsi="Arial"/>
                                <w:lang w:eastAsia="ja-JP"/>
                              </w:rPr>
                              <w:t>dB</w:t>
                            </w:r>
                          </w:p>
                          <w:p w14:paraId="34F54E6E" w14:textId="77777777" w:rsidR="00387024" w:rsidRPr="00AE4066" w:rsidRDefault="00387024" w:rsidP="00C83CBD">
                            <w:pPr>
                              <w:pStyle w:val="ListParagraph"/>
                              <w:numPr>
                                <w:ilvl w:val="0"/>
                                <w:numId w:val="10"/>
                              </w:numPr>
                              <w:overflowPunct w:val="0"/>
                              <w:autoSpaceDE w:val="0"/>
                              <w:autoSpaceDN w:val="0"/>
                              <w:adjustRightInd w:val="0"/>
                              <w:spacing w:after="180" w:line="240" w:lineRule="auto"/>
                              <w:contextualSpacing w:val="0"/>
                              <w:textAlignment w:val="baseline"/>
                              <w:rPr>
                                <w:rFonts w:ascii="Arial" w:eastAsiaTheme="minorHAnsi" w:hAnsi="Arial"/>
                                <w:lang w:eastAsia="ja-JP"/>
                              </w:rPr>
                            </w:pPr>
                            <w:r w:rsidRPr="00AE4066">
                              <w:rPr>
                                <w:rFonts w:ascii="Arial" w:eastAsiaTheme="minorHAnsi" w:hAnsi="Arial"/>
                                <w:lang w:eastAsia="ja-JP"/>
                              </w:rPr>
                              <w:t xml:space="preserve">The common understanding is that the current co-existence simulation work </w:t>
                            </w:r>
                            <w:r>
                              <w:rPr>
                                <w:rFonts w:ascii="Arial" w:eastAsiaTheme="minorHAnsi" w:hAnsi="Arial"/>
                                <w:lang w:eastAsia="ja-JP"/>
                              </w:rPr>
                              <w:t xml:space="preserve">(based on 11 dB UE NF) </w:t>
                            </w:r>
                            <w:r w:rsidRPr="00AE4066">
                              <w:rPr>
                                <w:rFonts w:ascii="Arial" w:eastAsiaTheme="minorHAnsi" w:hAnsi="Arial"/>
                                <w:lang w:eastAsia="ja-JP"/>
                              </w:rPr>
                              <w:t xml:space="preserve">is not changed due to </w:t>
                            </w:r>
                            <w:r>
                              <w:rPr>
                                <w:rFonts w:ascii="Arial" w:eastAsiaTheme="minorHAnsi" w:hAnsi="Arial"/>
                                <w:lang w:eastAsia="ja-JP"/>
                              </w:rPr>
                              <w:t xml:space="preserve">above </w:t>
                            </w:r>
                            <w:r w:rsidRPr="00AE4066">
                              <w:rPr>
                                <w:rFonts w:ascii="Arial" w:eastAsiaTheme="minorHAnsi" w:hAnsi="Arial"/>
                                <w:lang w:eastAsia="ja-JP"/>
                              </w:rPr>
                              <w:t>noise figure</w:t>
                            </w:r>
                            <w:r>
                              <w:rPr>
                                <w:rFonts w:ascii="Arial" w:eastAsiaTheme="minorHAnsi" w:hAnsi="Arial"/>
                                <w:lang w:eastAsia="ja-JP"/>
                              </w:rPr>
                              <w:t xml:space="preserve"> value</w:t>
                            </w:r>
                            <w:r w:rsidRPr="00AE4066">
                              <w:rPr>
                                <w:rFonts w:ascii="Arial" w:eastAsiaTheme="minorHAnsi" w:hAnsi="Arial"/>
                                <w:lang w:eastAsia="ja-JP"/>
                              </w:rPr>
                              <w:t>.</w:t>
                            </w:r>
                          </w:p>
                          <w:p w14:paraId="3A35F625" w14:textId="018126F0" w:rsidR="0071007E" w:rsidRPr="00715AA6" w:rsidRDefault="0071007E" w:rsidP="0071007E">
                            <w:pPr>
                              <w:rPr>
                                <w:rFonts w:eastAsiaTheme="minorEastAsia"/>
                                <w:lang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EFD1CC" id="_x0000_s1030" type="#_x0000_t202" style="position:absolute;margin-left:0;margin-top:21.25pt;width:500.85pt;height:6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">
                <v:textbox>
                  <w:txbxContent>
                    <w:p w14:paraId="40C5B091" w14:textId="77777777" w:rsidR="00387024" w:rsidRPr="006064A4" w:rsidRDefault="00387024" w:rsidP="00387024">
                      <w:pPr>
                        <w:rPr>
                          <w:rFonts w:ascii="Arial" w:hAnsi="Arial" w:cs="Arial"/>
                          <w:b/>
                          <w:u w:val="single"/>
                          <w:lang w:eastAsia="ja-JP"/>
                        </w:rPr>
                      </w:pPr>
                      <w:r w:rsidRPr="006064A4">
                        <w:rPr>
                          <w:rFonts w:ascii="Arial" w:hAnsi="Arial" w:cs="Arial"/>
                          <w:b/>
                          <w:u w:val="single"/>
                          <w:lang w:eastAsia="ja-JP"/>
                        </w:rPr>
                        <w:t>Noise figure</w:t>
                      </w:r>
                    </w:p>
                    <w:p w14:paraId="7B137826" w14:textId="77777777" w:rsidR="00387024" w:rsidRDefault="00387024" w:rsidP="00C83CBD">
                      <w:pPr>
                        <w:pStyle w:val="ListParagraph"/>
                        <w:numPr>
                          <w:ilvl w:val="0"/>
                          <w:numId w:val="10"/>
                        </w:numPr>
                        <w:spacing w:after="0"/>
                        <w:contextualSpacing w:val="0"/>
                        <w:rPr>
                          <w:rFonts w:ascii="Arial" w:eastAsiaTheme="minorHAnsi" w:hAnsi="Arial"/>
                          <w:lang w:eastAsia="ja-JP"/>
                        </w:rPr>
                      </w:pPr>
                      <w:r w:rsidRPr="00E51419">
                        <w:rPr>
                          <w:rFonts w:ascii="Arial" w:eastAsiaTheme="minorHAnsi" w:hAnsi="Arial"/>
                          <w:lang w:eastAsia="ja-JP"/>
                        </w:rPr>
                        <w:t>For LS to ITU, noise figure is [13]</w:t>
                      </w:r>
                      <w:r>
                        <w:rPr>
                          <w:rFonts w:ascii="Arial" w:eastAsiaTheme="minorHAnsi" w:hAnsi="Arial"/>
                          <w:lang w:eastAsia="ja-JP"/>
                        </w:rPr>
                        <w:t xml:space="preserve"> </w:t>
                      </w:r>
                      <w:r w:rsidRPr="00E51419">
                        <w:rPr>
                          <w:rFonts w:ascii="Arial" w:eastAsiaTheme="minorHAnsi" w:hAnsi="Arial"/>
                          <w:lang w:eastAsia="ja-JP"/>
                        </w:rPr>
                        <w:t>dB</w:t>
                      </w:r>
                    </w:p>
                    <w:p w14:paraId="34F54E6E" w14:textId="77777777" w:rsidR="00387024" w:rsidRPr="00AE4066" w:rsidRDefault="00387024" w:rsidP="00C83CBD">
                      <w:pPr>
                        <w:pStyle w:val="ListParagraph"/>
                        <w:numPr>
                          <w:ilvl w:val="0"/>
                          <w:numId w:val="10"/>
                        </w:numPr>
                        <w:overflowPunct w:val="0"/>
                        <w:autoSpaceDE w:val="0"/>
                        <w:autoSpaceDN w:val="0"/>
                        <w:adjustRightInd w:val="0"/>
                        <w:spacing w:after="180" w:line="240" w:lineRule="auto"/>
                        <w:contextualSpacing w:val="0"/>
                        <w:textAlignment w:val="baseline"/>
                        <w:rPr>
                          <w:rFonts w:ascii="Arial" w:eastAsiaTheme="minorHAnsi" w:hAnsi="Arial"/>
                          <w:lang w:eastAsia="ja-JP"/>
                        </w:rPr>
                      </w:pPr>
                      <w:r w:rsidRPr="00AE4066">
                        <w:rPr>
                          <w:rFonts w:ascii="Arial" w:eastAsiaTheme="minorHAnsi" w:hAnsi="Arial"/>
                          <w:lang w:eastAsia="ja-JP"/>
                        </w:rPr>
                        <w:t xml:space="preserve">The common understanding is that the current co-existence simulation work </w:t>
                      </w:r>
                      <w:r>
                        <w:rPr>
                          <w:rFonts w:ascii="Arial" w:eastAsiaTheme="minorHAnsi" w:hAnsi="Arial"/>
                          <w:lang w:eastAsia="ja-JP"/>
                        </w:rPr>
                        <w:t xml:space="preserve">(based on 11 dB UE NF) </w:t>
                      </w:r>
                      <w:r w:rsidRPr="00AE4066">
                        <w:rPr>
                          <w:rFonts w:ascii="Arial" w:eastAsiaTheme="minorHAnsi" w:hAnsi="Arial"/>
                          <w:lang w:eastAsia="ja-JP"/>
                        </w:rPr>
                        <w:t xml:space="preserve">is not changed due to </w:t>
                      </w:r>
                      <w:r>
                        <w:rPr>
                          <w:rFonts w:ascii="Arial" w:eastAsiaTheme="minorHAnsi" w:hAnsi="Arial"/>
                          <w:lang w:eastAsia="ja-JP"/>
                        </w:rPr>
                        <w:t xml:space="preserve">above </w:t>
                      </w:r>
                      <w:r w:rsidRPr="00AE4066">
                        <w:rPr>
                          <w:rFonts w:ascii="Arial" w:eastAsiaTheme="minorHAnsi" w:hAnsi="Arial"/>
                          <w:lang w:eastAsia="ja-JP"/>
                        </w:rPr>
                        <w:t>noise figure</w:t>
                      </w:r>
                      <w:r>
                        <w:rPr>
                          <w:rFonts w:ascii="Arial" w:eastAsiaTheme="minorHAnsi" w:hAnsi="Arial"/>
                          <w:lang w:eastAsia="ja-JP"/>
                        </w:rPr>
                        <w:t xml:space="preserve"> value</w:t>
                      </w:r>
                      <w:r w:rsidRPr="00AE4066">
                        <w:rPr>
                          <w:rFonts w:ascii="Arial" w:eastAsiaTheme="minorHAnsi" w:hAnsi="Arial"/>
                          <w:lang w:eastAsia="ja-JP"/>
                        </w:rPr>
                        <w:t>.</w:t>
                      </w:r>
                    </w:p>
                    <w:p w14:paraId="3A35F625" w14:textId="018126F0" w:rsidR="0071007E" w:rsidRPr="00715AA6" w:rsidRDefault="0071007E" w:rsidP="0071007E">
                      <w:pPr>
                        <w:rPr>
                          <w:rFonts w:eastAsiaTheme="minorEastAsia"/>
                          <w:lang w:eastAsia="ja-JP"/>
                        </w:rPr>
                      </w:pPr>
                    </w:p>
                  </w:txbxContent>
                </v:textbox>
                <w10:wrap type="square" anchorx="margin"/>
              </v:shape>
            </w:pict>
          </mc:Fallback>
        </mc:AlternateContent>
      </w:r>
      <w:r>
        <w:rPr>
          <w:rFonts w:eastAsiaTheme="minorEastAsia" w:hint="eastAsia"/>
          <w:lang w:val="en-US" w:eastAsia="ja-JP"/>
        </w:rPr>
        <w:t>In the WF in RAN4#11</w:t>
      </w:r>
      <w:r w:rsidR="00677811">
        <w:rPr>
          <w:rFonts w:eastAsiaTheme="minorEastAsia"/>
          <w:lang w:val="en-US" w:eastAsia="ja-JP"/>
        </w:rPr>
        <w:t>2</w:t>
      </w:r>
      <w:r w:rsidR="00CA67B7">
        <w:rPr>
          <w:rFonts w:eastAsiaTheme="minorEastAsia"/>
          <w:lang w:val="en-US" w:eastAsia="ja-JP"/>
        </w:rPr>
        <w:t>-bis</w:t>
      </w:r>
      <w:r w:rsidR="006F6C6A">
        <w:rPr>
          <w:rFonts w:eastAsiaTheme="minorEastAsia"/>
          <w:lang w:val="en-US" w:eastAsia="ja-JP"/>
        </w:rPr>
        <w:t xml:space="preserve"> </w:t>
      </w:r>
      <w:r w:rsidR="006F6C6A">
        <w:rPr>
          <w:rFonts w:eastAsiaTheme="minorEastAsia"/>
          <w:lang w:val="en-US" w:eastAsia="ja-JP"/>
        </w:rPr>
        <w:fldChar w:fldCharType="begin"/>
      </w:r>
      <w:r w:rsidR="006F6C6A">
        <w:rPr>
          <w:rFonts w:eastAsiaTheme="minorEastAsia"/>
          <w:lang w:val="en-US" w:eastAsia="ja-JP"/>
        </w:rPr>
        <w:instrText xml:space="preserve"> REF _Ref181632554 \r \h </w:instrText>
      </w:r>
      <w:r w:rsidR="006F6C6A">
        <w:rPr>
          <w:rFonts w:eastAsiaTheme="minorEastAsia"/>
          <w:lang w:val="en-US" w:eastAsia="ja-JP"/>
        </w:rPr>
      </w:r>
      <w:r w:rsidR="006F6C6A">
        <w:rPr>
          <w:rFonts w:eastAsiaTheme="minorEastAsia"/>
          <w:lang w:val="en-US" w:eastAsia="ja-JP"/>
        </w:rPr>
        <w:fldChar w:fldCharType="separate"/>
      </w:r>
      <w:r w:rsidR="006F6C6A">
        <w:rPr>
          <w:rFonts w:eastAsiaTheme="minorEastAsia"/>
          <w:lang w:val="en-US" w:eastAsia="ja-JP"/>
        </w:rPr>
        <w:t>[6]</w:t>
      </w:r>
      <w:r w:rsidR="006F6C6A">
        <w:rPr>
          <w:rFonts w:eastAsiaTheme="minorEastAsia"/>
          <w:lang w:val="en-US" w:eastAsia="ja-JP"/>
        </w:rPr>
        <w:fldChar w:fldCharType="end"/>
      </w:r>
      <w:r>
        <w:rPr>
          <w:rFonts w:eastAsiaTheme="minorEastAsia" w:hint="eastAsia"/>
          <w:lang w:val="en-US" w:eastAsia="ja-JP"/>
        </w:rPr>
        <w:t xml:space="preserve">, </w:t>
      </w:r>
      <w:r w:rsidR="00677811">
        <w:rPr>
          <w:rFonts w:eastAsiaTheme="minorEastAsia"/>
          <w:lang w:val="en-US" w:eastAsia="ja-JP"/>
        </w:rPr>
        <w:t xml:space="preserve">the following </w:t>
      </w:r>
      <w:r w:rsidR="00CA67B7">
        <w:rPr>
          <w:rFonts w:eastAsiaTheme="minorEastAsia"/>
          <w:lang w:val="en-US" w:eastAsia="ja-JP"/>
        </w:rPr>
        <w:t>agreement was made</w:t>
      </w:r>
      <w:r w:rsidR="00677811">
        <w:rPr>
          <w:rFonts w:eastAsiaTheme="minorEastAsia"/>
          <w:lang w:val="en-US" w:eastAsia="ja-JP"/>
        </w:rPr>
        <w:t>.</w:t>
      </w:r>
    </w:p>
    <w:p w14:paraId="4D3151AC" w14:textId="01981F88" w:rsidR="0071007E" w:rsidRPr="00715AA6" w:rsidRDefault="00723910" w:rsidP="0071007E">
      <w:pPr>
        <w:rPr>
          <w:rFonts w:eastAsiaTheme="minorEastAsia"/>
          <w:lang w:val="en-US" w:eastAsia="ja-JP"/>
        </w:rPr>
      </w:pPr>
      <w:r>
        <w:rPr>
          <w:rFonts w:eastAsiaTheme="minorEastAsia"/>
          <w:lang w:val="en-US" w:eastAsia="ja-JP"/>
        </w:rPr>
        <w:t>The value in square bracket 13 dB is</w:t>
      </w:r>
      <w:r w:rsidR="0071007E">
        <w:rPr>
          <w:rFonts w:eastAsiaTheme="minorEastAsia" w:hint="eastAsia"/>
          <w:lang w:val="en-US" w:eastAsia="ja-JP"/>
        </w:rPr>
        <w:t xml:space="preserve"> worse than the typical NF value agreed earlier</w:t>
      </w:r>
      <w:r w:rsidR="00677811">
        <w:rPr>
          <w:rFonts w:eastAsiaTheme="minorEastAsia"/>
          <w:lang w:val="en-US" w:eastAsia="ja-JP"/>
        </w:rPr>
        <w:t xml:space="preserve"> in TR 38.921</w:t>
      </w:r>
      <w:r>
        <w:rPr>
          <w:rFonts w:eastAsiaTheme="minorEastAsia"/>
          <w:lang w:val="en-US" w:eastAsia="ja-JP"/>
        </w:rPr>
        <w:t xml:space="preserve"> (10 dB) and the one agreed for the coexistence simulation work (11 dB)</w:t>
      </w:r>
      <w:r w:rsidR="0071007E">
        <w:rPr>
          <w:rFonts w:eastAsiaTheme="minorEastAsia" w:hint="eastAsia"/>
          <w:lang w:val="en-US" w:eastAsia="ja-JP"/>
        </w:rPr>
        <w:t xml:space="preserve">. </w:t>
      </w:r>
      <w:r>
        <w:rPr>
          <w:rFonts w:eastAsiaTheme="minorEastAsia"/>
          <w:lang w:val="en-US" w:eastAsia="ja-JP"/>
        </w:rPr>
        <w:t xml:space="preserve">It is confusing that different values are used in different contexts, so the TR should capture how NF=13 dB in the LS reply is different from NF=11 dB in the coexistence simulations. We understand NF=11 dB is the typical value but NF=13 dB is the worst value (such as for the extreme condition). </w:t>
      </w:r>
      <w:r w:rsidRPr="00723910">
        <w:rPr>
          <w:rFonts w:eastAsiaTheme="minorEastAsia"/>
          <w:lang w:val="en-US" w:eastAsia="ja-JP"/>
        </w:rPr>
        <w:t>It is proposed that the NF=11 dB is mentioned in the TR as the typical value and 13 dB is the worst value including margins such as temperature or product variation, etc.</w:t>
      </w:r>
    </w:p>
    <w:p w14:paraId="1A0A217D" w14:textId="6253411E" w:rsidR="00723910" w:rsidRDefault="0071007E" w:rsidP="006F6C6A">
      <w:pPr>
        <w:pStyle w:val="RAN4proposal"/>
        <w:rPr>
          <w:lang w:val="en-US" w:eastAsia="ja-JP"/>
        </w:rPr>
      </w:pPr>
      <w:bookmarkStart w:id="10" w:name="_Toc181743805"/>
      <w:r w:rsidRPr="002D61E7">
        <w:rPr>
          <w:rFonts w:hint="eastAsia"/>
          <w:lang w:val="en-US" w:eastAsia="ja-JP"/>
        </w:rPr>
        <w:t xml:space="preserve">It is proposed that </w:t>
      </w:r>
      <w:r w:rsidR="00723910">
        <w:rPr>
          <w:lang w:val="en-US" w:eastAsia="ja-JP"/>
        </w:rPr>
        <w:t xml:space="preserve">the </w:t>
      </w:r>
      <w:r w:rsidRPr="002D61E7">
        <w:rPr>
          <w:rFonts w:hint="eastAsia"/>
          <w:lang w:val="en-US" w:eastAsia="ja-JP"/>
        </w:rPr>
        <w:t>NF=1</w:t>
      </w:r>
      <w:r w:rsidR="00723910">
        <w:rPr>
          <w:lang w:val="en-US" w:eastAsia="ja-JP"/>
        </w:rPr>
        <w:t>1</w:t>
      </w:r>
      <w:r w:rsidRPr="002D61E7">
        <w:rPr>
          <w:rFonts w:hint="eastAsia"/>
          <w:lang w:val="en-US" w:eastAsia="ja-JP"/>
        </w:rPr>
        <w:t xml:space="preserve"> dB</w:t>
      </w:r>
      <w:r w:rsidR="00CA67B7">
        <w:rPr>
          <w:lang w:val="en-US" w:eastAsia="ja-JP"/>
        </w:rPr>
        <w:t xml:space="preserve"> </w:t>
      </w:r>
      <w:r w:rsidR="00723910">
        <w:rPr>
          <w:lang w:val="en-US" w:eastAsia="ja-JP"/>
        </w:rPr>
        <w:t>is mentioned in the TR as the typical value and 13 dB is the worst value including margins such as temperature or product variation, etc.</w:t>
      </w:r>
      <w:bookmarkEnd w:id="10"/>
    </w:p>
    <w:p w14:paraId="0F1297C2" w14:textId="77777777" w:rsidR="00853F01" w:rsidRDefault="00853F01" w:rsidP="00853F01">
      <w:pPr>
        <w:rPr>
          <w:b/>
          <w:bCs/>
          <w:u w:val="single"/>
          <w:lang w:val="en-US" w:eastAsia="ja-JP"/>
        </w:rPr>
      </w:pPr>
    </w:p>
    <w:p w14:paraId="08118C36" w14:textId="59BA1673" w:rsidR="00EC3491" w:rsidRPr="00DD0007" w:rsidRDefault="00DD0007" w:rsidP="00EC3491">
      <w:pPr>
        <w:rPr>
          <w:rFonts w:eastAsiaTheme="minorEastAsia"/>
          <w:b/>
          <w:bCs/>
          <w:u w:val="single"/>
          <w:lang w:val="en-US" w:eastAsia="ja-JP"/>
        </w:rPr>
      </w:pPr>
      <w:r>
        <w:rPr>
          <w:rFonts w:hint="eastAsia"/>
          <w:b/>
          <w:bCs/>
          <w:u w:val="single"/>
          <w:lang w:val="en-US" w:eastAsia="ja-JP"/>
        </w:rPr>
        <w:t>ACLR and ACS</w:t>
      </w:r>
    </w:p>
    <w:p w14:paraId="07F80D3D" w14:textId="54EF66C5" w:rsidR="00EC3491" w:rsidRDefault="00EC3491" w:rsidP="00EC3491">
      <w:pPr>
        <w:rPr>
          <w:b/>
          <w:bCs/>
          <w:u w:val="single"/>
          <w:lang w:val="en-US" w:eastAsia="ja-JP"/>
        </w:rPr>
      </w:pPr>
      <w:r w:rsidRPr="00A77BE4">
        <w:rPr>
          <w:rFonts w:eastAsiaTheme="minorEastAsia"/>
          <w:b/>
          <w:bCs/>
          <w:noProof/>
          <w:u w:val="single"/>
          <w:lang w:val="en-US" w:eastAsia="ja-JP"/>
        </w:rPr>
        <mc:AlternateContent>
          <mc:Choice Requires="wps">
            <w:drawing>
              <wp:anchor distT="45720" distB="45720" distL="114300" distR="114300" simplePos="0" relativeHeight="251678720" behindDoc="0" locked="0" layoutInCell="1" allowOverlap="1" wp14:anchorId="487DF763" wp14:editId="22E69CB2">
                <wp:simplePos x="0" y="0"/>
                <wp:positionH relativeFrom="margin">
                  <wp:align>left</wp:align>
                </wp:positionH>
                <wp:positionV relativeFrom="paragraph">
                  <wp:posOffset>269672</wp:posOffset>
                </wp:positionV>
                <wp:extent cx="6360795" cy="1123950"/>
                <wp:effectExtent l="0" t="0" r="20955" b="19050"/>
                <wp:wrapSquare wrapText="bothSides"/>
                <wp:docPr id="1609665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123950"/>
                        </a:xfrm>
                        <a:prstGeom prst="rect">
                          <a:avLst/>
                        </a:prstGeom>
                        <a:solidFill>
                          <a:srgbClr val="FFFFFF"/>
                        </a:solidFill>
                        <a:ln w="9525">
                          <a:solidFill>
                            <a:srgbClr val="000000"/>
                          </a:solidFill>
                          <a:miter lim="800000"/>
                          <a:headEnd/>
                          <a:tailEnd/>
                        </a:ln>
                      </wps:spPr>
                      <wps:txbx>
                        <w:txbxContent>
                          <w:p w14:paraId="7A6CC87D" w14:textId="77777777" w:rsidR="00755364" w:rsidRPr="00D41E30" w:rsidRDefault="00755364" w:rsidP="00755364">
                            <w:pPr>
                              <w:pStyle w:val="BodyText"/>
                              <w:rPr>
                                <w:b/>
                                <w:u w:val="single"/>
                                <w:lang w:val="en-GB"/>
                              </w:rPr>
                            </w:pPr>
                            <w:r w:rsidRPr="00D41E30">
                              <w:rPr>
                                <w:b/>
                                <w:u w:val="single"/>
                                <w:lang w:val="en-GB"/>
                              </w:rPr>
                              <w:t>ACLR</w:t>
                            </w:r>
                          </w:p>
                          <w:p w14:paraId="3A545CB8" w14:textId="77777777" w:rsidR="00755364" w:rsidRPr="00D41E30" w:rsidRDefault="00755364" w:rsidP="00C83CBD">
                            <w:pPr>
                              <w:pStyle w:val="BodyText"/>
                              <w:numPr>
                                <w:ilvl w:val="0"/>
                                <w:numId w:val="7"/>
                              </w:numPr>
                              <w:ind w:left="936"/>
                              <w:rPr>
                                <w:lang w:val="en-GB"/>
                              </w:rPr>
                            </w:pPr>
                            <w:r w:rsidRPr="00D41E30">
                              <w:rPr>
                                <w:lang w:val="en-GB"/>
                              </w:rPr>
                              <w:t>Decide based on co-existence study</w:t>
                            </w:r>
                          </w:p>
                          <w:p w14:paraId="46486F26" w14:textId="77777777" w:rsidR="00DD0007" w:rsidRPr="00D41E30" w:rsidRDefault="00DD0007" w:rsidP="00DD0007">
                            <w:pPr>
                              <w:pStyle w:val="BodyText"/>
                              <w:rPr>
                                <w:b/>
                                <w:u w:val="single"/>
                                <w:lang w:val="en-GB"/>
                              </w:rPr>
                            </w:pPr>
                            <w:r w:rsidRPr="00D41E30">
                              <w:rPr>
                                <w:b/>
                                <w:u w:val="single"/>
                                <w:lang w:val="en-GB"/>
                              </w:rPr>
                              <w:t>ACS</w:t>
                            </w:r>
                          </w:p>
                          <w:p w14:paraId="63DCD1C1" w14:textId="77777777" w:rsidR="00DD0007" w:rsidRPr="00D41E30" w:rsidRDefault="00DD0007" w:rsidP="00C83CBD">
                            <w:pPr>
                              <w:pStyle w:val="BodyText"/>
                              <w:numPr>
                                <w:ilvl w:val="0"/>
                                <w:numId w:val="7"/>
                              </w:numPr>
                              <w:ind w:left="936"/>
                              <w:rPr>
                                <w:lang w:val="en-GB"/>
                              </w:rPr>
                            </w:pPr>
                            <w:r w:rsidRPr="00D41E30">
                              <w:rPr>
                                <w:lang w:val="en-GB"/>
                              </w:rPr>
                              <w:t>Decide based on co-existence study</w:t>
                            </w:r>
                          </w:p>
                          <w:p w14:paraId="78F5C849" w14:textId="77777777" w:rsidR="00EC3491" w:rsidRPr="00715AA6" w:rsidRDefault="00EC3491" w:rsidP="00EC3491">
                            <w:pPr>
                              <w:rPr>
                                <w:rFonts w:eastAsiaTheme="minorEastAsia"/>
                                <w:lang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7DF763" id="_x0000_t202" coordsize="21600,21600" o:spt="202" path="m,l,21600r21600,l21600,xe">
                <v:stroke joinstyle="miter"/>
                <v:path gradientshapeok="t" o:connecttype="rect"/>
              </v:shapetype>
              <v:shape id="_x0000_s1031" type="#_x0000_t202" style="position:absolute;margin-left:0;margin-top:21.25pt;width:500.85pt;height:88.5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">
                <v:textbox>
                  <w:txbxContent>
                    <w:p w14:paraId="7A6CC87D" w14:textId="77777777" w:rsidR="00755364" w:rsidRPr="00D41E30" w:rsidRDefault="00755364" w:rsidP="00755364">
                      <w:pPr>
                        <w:pStyle w:val="BodyText"/>
                        <w:rPr>
                          <w:b/>
                          <w:u w:val="single"/>
                          <w:lang w:val="en-GB"/>
                        </w:rPr>
                      </w:pPr>
                      <w:r w:rsidRPr="00D41E30">
                        <w:rPr>
                          <w:b/>
                          <w:u w:val="single"/>
                          <w:lang w:val="en-GB"/>
                        </w:rPr>
                        <w:t>ACLR</w:t>
                      </w:r>
                    </w:p>
                    <w:p w14:paraId="3A545CB8" w14:textId="77777777" w:rsidR="00755364" w:rsidRPr="00D41E30" w:rsidRDefault="00755364" w:rsidP="00C83CBD">
                      <w:pPr>
                        <w:pStyle w:val="BodyText"/>
                        <w:numPr>
                          <w:ilvl w:val="0"/>
                          <w:numId w:val="7"/>
                        </w:numPr>
                        <w:ind w:left="936"/>
                        <w:rPr>
                          <w:lang w:val="en-GB"/>
                        </w:rPr>
                      </w:pPr>
                      <w:r w:rsidRPr="00D41E30">
                        <w:rPr>
                          <w:lang w:val="en-GB"/>
                        </w:rPr>
                        <w:t>Decide based on co-existence study</w:t>
                      </w:r>
                    </w:p>
                    <w:p w14:paraId="46486F26" w14:textId="77777777" w:rsidR="00DD0007" w:rsidRPr="00D41E30" w:rsidRDefault="00DD0007" w:rsidP="00DD0007">
                      <w:pPr>
                        <w:pStyle w:val="BodyText"/>
                        <w:rPr>
                          <w:b/>
                          <w:u w:val="single"/>
                          <w:lang w:val="en-GB"/>
                        </w:rPr>
                      </w:pPr>
                      <w:r w:rsidRPr="00D41E30">
                        <w:rPr>
                          <w:b/>
                          <w:u w:val="single"/>
                          <w:lang w:val="en-GB"/>
                        </w:rPr>
                        <w:t>ACS</w:t>
                      </w:r>
                    </w:p>
                    <w:p w14:paraId="63DCD1C1" w14:textId="77777777" w:rsidR="00DD0007" w:rsidRPr="00D41E30" w:rsidRDefault="00DD0007" w:rsidP="00C83CBD">
                      <w:pPr>
                        <w:pStyle w:val="BodyText"/>
                        <w:numPr>
                          <w:ilvl w:val="0"/>
                          <w:numId w:val="7"/>
                        </w:numPr>
                        <w:ind w:left="936"/>
                        <w:rPr>
                          <w:lang w:val="en-GB"/>
                        </w:rPr>
                      </w:pPr>
                      <w:r w:rsidRPr="00D41E30">
                        <w:rPr>
                          <w:lang w:val="en-GB"/>
                        </w:rPr>
                        <w:t>Decide based on co-existence study</w:t>
                      </w:r>
                    </w:p>
                    <w:p w14:paraId="78F5C849" w14:textId="77777777" w:rsidR="00EC3491" w:rsidRPr="00715AA6" w:rsidRDefault="00EC3491" w:rsidP="00EC3491">
                      <w:pPr>
                        <w:rPr>
                          <w:rFonts w:eastAsiaTheme="minorEastAsia"/>
                          <w:lang w:eastAsia="ja-JP"/>
                        </w:rPr>
                      </w:pPr>
                    </w:p>
                  </w:txbxContent>
                </v:textbox>
                <w10:wrap type="square" anchorx="margin"/>
              </v:shape>
            </w:pict>
          </mc:Fallback>
        </mc:AlternateContent>
      </w:r>
      <w:r>
        <w:rPr>
          <w:rFonts w:eastAsiaTheme="minorEastAsia" w:hint="eastAsia"/>
          <w:lang w:val="en-US" w:eastAsia="ja-JP"/>
        </w:rPr>
        <w:t xml:space="preserve">In the </w:t>
      </w:r>
      <w:r w:rsidR="00515349">
        <w:rPr>
          <w:rFonts w:eastAsiaTheme="minorEastAsia" w:hint="eastAsia"/>
          <w:lang w:val="en-US" w:eastAsia="ja-JP"/>
        </w:rPr>
        <w:t>WF in RAN4#11</w:t>
      </w:r>
      <w:r w:rsidR="00515349">
        <w:rPr>
          <w:rFonts w:eastAsiaTheme="minorEastAsia"/>
          <w:lang w:val="en-US" w:eastAsia="ja-JP"/>
        </w:rPr>
        <w:t xml:space="preserve">2-bis </w:t>
      </w:r>
      <w:r w:rsidR="00515349">
        <w:rPr>
          <w:rFonts w:eastAsiaTheme="minorEastAsia"/>
          <w:lang w:val="en-US" w:eastAsia="ja-JP"/>
        </w:rPr>
        <w:fldChar w:fldCharType="begin"/>
      </w:r>
      <w:r w:rsidR="00515349">
        <w:rPr>
          <w:rFonts w:eastAsiaTheme="minorEastAsia"/>
          <w:lang w:val="en-US" w:eastAsia="ja-JP"/>
        </w:rPr>
        <w:instrText xml:space="preserve"> REF _Ref181632554 \r \h </w:instrText>
      </w:r>
      <w:r w:rsidR="00515349">
        <w:rPr>
          <w:rFonts w:eastAsiaTheme="minorEastAsia"/>
          <w:lang w:val="en-US" w:eastAsia="ja-JP"/>
        </w:rPr>
      </w:r>
      <w:r w:rsidR="00515349">
        <w:rPr>
          <w:rFonts w:eastAsiaTheme="minorEastAsia"/>
          <w:lang w:val="en-US" w:eastAsia="ja-JP"/>
        </w:rPr>
        <w:fldChar w:fldCharType="separate"/>
      </w:r>
      <w:r w:rsidR="00515349">
        <w:rPr>
          <w:rFonts w:eastAsiaTheme="minorEastAsia"/>
          <w:lang w:val="en-US" w:eastAsia="ja-JP"/>
        </w:rPr>
        <w:t>[6]</w:t>
      </w:r>
      <w:r w:rsidR="00515349">
        <w:rPr>
          <w:rFonts w:eastAsiaTheme="minorEastAsia"/>
          <w:lang w:val="en-US" w:eastAsia="ja-JP"/>
        </w:rPr>
        <w:fldChar w:fldCharType="end"/>
      </w:r>
      <w:r w:rsidR="00515349">
        <w:rPr>
          <w:rFonts w:eastAsiaTheme="minorEastAsia" w:hint="eastAsia"/>
          <w:lang w:val="en-US" w:eastAsia="ja-JP"/>
        </w:rPr>
        <w:t xml:space="preserve">, </w:t>
      </w:r>
      <w:r w:rsidR="00515349">
        <w:rPr>
          <w:rFonts w:eastAsiaTheme="minorEastAsia"/>
          <w:lang w:val="en-US" w:eastAsia="ja-JP"/>
        </w:rPr>
        <w:t>the following agreement was made.</w:t>
      </w:r>
    </w:p>
    <w:p w14:paraId="68F7CFB4" w14:textId="2D4D1743" w:rsidR="00EC3491" w:rsidRDefault="0026212E" w:rsidP="00DD0007">
      <w:pPr>
        <w:rPr>
          <w:lang w:val="en-US" w:eastAsia="ja-JP"/>
        </w:rPr>
      </w:pPr>
      <w:r w:rsidRPr="0026212E">
        <w:rPr>
          <w:lang w:val="en-US" w:eastAsia="ja-JP"/>
        </w:rPr>
        <w:t xml:space="preserve">The simulation results in </w:t>
      </w:r>
      <w:r>
        <w:rPr>
          <w:lang w:val="en-US" w:eastAsia="ja-JP"/>
        </w:rPr>
        <w:fldChar w:fldCharType="begin"/>
      </w:r>
      <w:r>
        <w:rPr>
          <w:lang w:val="en-US" w:eastAsia="ja-JP"/>
        </w:rPr>
        <w:instrText xml:space="preserve"> REF _Ref181743476 \r \h </w:instrText>
      </w:r>
      <w:r>
        <w:rPr>
          <w:lang w:val="en-US" w:eastAsia="ja-JP"/>
        </w:rPr>
      </w:r>
      <w:r>
        <w:rPr>
          <w:lang w:val="en-US" w:eastAsia="ja-JP"/>
        </w:rPr>
        <w:fldChar w:fldCharType="separate"/>
      </w:r>
      <w:r>
        <w:rPr>
          <w:lang w:val="en-US" w:eastAsia="ja-JP"/>
        </w:rPr>
        <w:t>[7]</w:t>
      </w:r>
      <w:r>
        <w:rPr>
          <w:lang w:val="en-US" w:eastAsia="ja-JP"/>
        </w:rPr>
        <w:fldChar w:fldCharType="end"/>
      </w:r>
      <w:r w:rsidRPr="0026212E">
        <w:rPr>
          <w:lang w:val="en-US" w:eastAsia="ja-JP"/>
        </w:rPr>
        <w:t xml:space="preserve"> and </w:t>
      </w:r>
      <w:r>
        <w:rPr>
          <w:lang w:val="en-US" w:eastAsia="ja-JP"/>
        </w:rPr>
        <w:fldChar w:fldCharType="begin"/>
      </w:r>
      <w:r>
        <w:rPr>
          <w:lang w:val="en-US" w:eastAsia="ja-JP"/>
        </w:rPr>
        <w:instrText xml:space="preserve"> REF _Ref181743488 \r \h </w:instrText>
      </w:r>
      <w:r>
        <w:rPr>
          <w:lang w:val="en-US" w:eastAsia="ja-JP"/>
        </w:rPr>
      </w:r>
      <w:r>
        <w:rPr>
          <w:lang w:val="en-US" w:eastAsia="ja-JP"/>
        </w:rPr>
        <w:fldChar w:fldCharType="separate"/>
      </w:r>
      <w:r>
        <w:rPr>
          <w:lang w:val="en-US" w:eastAsia="ja-JP"/>
        </w:rPr>
        <w:t>[8]</w:t>
      </w:r>
      <w:r>
        <w:rPr>
          <w:lang w:val="en-US" w:eastAsia="ja-JP"/>
        </w:rPr>
        <w:fldChar w:fldCharType="end"/>
      </w:r>
      <w:r w:rsidRPr="0026212E">
        <w:rPr>
          <w:lang w:val="en-US" w:eastAsia="ja-JP"/>
        </w:rPr>
        <w:t xml:space="preserve"> have shown that for both downlink and uplink, the average and 5%-tile throughput losses of the victim UE in all simulated cases are limited to around 5% with downlink ACIR offset of -9 dB compared to the current ACLR and ACS specified for FR1. This is also aligned with the trend that ACLR and ACS can be more relaxed in higher frequency range from coexistence viewpoint. Therefore, it is proposed the ACLR and ACS for 14800 to 15350 MHz should be relaxed for 9 dB compared to the current ones specified in FR1, i.e., </w:t>
      </w:r>
      <w:r w:rsidR="002E0DE7">
        <w:rPr>
          <w:rFonts w:hint="eastAsia"/>
          <w:lang w:val="en-US" w:eastAsia="ja-JP"/>
        </w:rPr>
        <w:t>21</w:t>
      </w:r>
      <w:r w:rsidRPr="0026212E">
        <w:rPr>
          <w:lang w:val="en-US" w:eastAsia="ja-JP"/>
        </w:rPr>
        <w:t xml:space="preserve"> dB ACLR and </w:t>
      </w:r>
      <w:r w:rsidR="00997B44">
        <w:rPr>
          <w:rFonts w:hint="eastAsia"/>
          <w:lang w:val="en-US" w:eastAsia="ja-JP"/>
        </w:rPr>
        <w:t xml:space="preserve">24 dB </w:t>
      </w:r>
      <w:r w:rsidRPr="0026212E">
        <w:rPr>
          <w:lang w:val="en-US" w:eastAsia="ja-JP"/>
        </w:rPr>
        <w:t>ACS.</w:t>
      </w:r>
    </w:p>
    <w:p w14:paraId="2B26DAAE" w14:textId="7DD40B7C" w:rsidR="0026212E" w:rsidRPr="0026212E" w:rsidRDefault="00997B44" w:rsidP="00F71E29">
      <w:pPr>
        <w:pStyle w:val="RAN4proposal"/>
        <w:rPr>
          <w:lang w:val="en-US" w:eastAsia="ja-JP"/>
        </w:rPr>
      </w:pPr>
      <w:bookmarkStart w:id="11" w:name="_Toc181743806"/>
      <w:r>
        <w:rPr>
          <w:rFonts w:hint="eastAsia"/>
          <w:lang w:val="en-US" w:eastAsia="ja-JP"/>
        </w:rPr>
        <w:t>T</w:t>
      </w:r>
      <w:r w:rsidRPr="00997B44">
        <w:rPr>
          <w:lang w:val="en-US" w:eastAsia="ja-JP"/>
        </w:rPr>
        <w:t>he ACLR and ACS for 14800 to 15350 MHz should be relaxed for 9 dB compared to the current ones specified in FR1, i.e., 21 dB ACLR and 24 dB ACS.</w:t>
      </w:r>
      <w:bookmarkEnd w:id="11"/>
    </w:p>
    <w:p w14:paraId="31F7231A" w14:textId="77777777" w:rsidR="00CD7492" w:rsidRPr="00614DD8" w:rsidRDefault="00CD7492" w:rsidP="00A37002">
      <w:pPr>
        <w:pStyle w:val="RAN4H1"/>
        <w:rPr>
          <w:lang w:val="en-US"/>
        </w:rPr>
      </w:pPr>
      <w:bookmarkStart w:id="12" w:name="_Toc116995848"/>
      <w:r w:rsidRPr="00614DD8">
        <w:rPr>
          <w:lang w:val="en-US"/>
        </w:rPr>
        <w:t>Conclusion</w:t>
      </w:r>
      <w:bookmarkEnd w:id="12"/>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75E20A1A" w14:textId="548A5314" w:rsidR="00483749" w:rsidRDefault="00B51C35">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r w:rsidRPr="00614DD8">
        <w:rPr>
          <w:b w:val="0"/>
          <w:i/>
          <w:iCs/>
          <w:lang w:val="en-US"/>
        </w:rPr>
        <w:fldChar w:fldCharType="begin"/>
      </w:r>
      <w:r w:rsidRPr="00614DD8">
        <w:rPr>
          <w:i/>
          <w:iCs/>
          <w:lang w:val="en-US"/>
        </w:rPr>
        <w:instrText xml:space="preserve"> TOC \n \h \z \t "RAN4 proposal,5,RAN4 observation,4" </w:instrText>
      </w:r>
      <w:r w:rsidRPr="00614DD8">
        <w:rPr>
          <w:b w:val="0"/>
          <w:i/>
          <w:iCs/>
          <w:lang w:val="en-US"/>
        </w:rPr>
        <w:fldChar w:fldCharType="separate"/>
      </w:r>
      <w:hyperlink w:anchor="_Toc181743800" w:history="1">
        <w:r w:rsidR="00483749" w:rsidRPr="00E362D1">
          <w:rPr>
            <w:rStyle w:val="Hyperlink"/>
            <w:noProof/>
            <w:lang w:val="en-US"/>
          </w:rPr>
          <w:t>Proposal 1: Spurious emissions up to 100 MHz channel bandwidth is defined in TS 38.101-1 clause 6.5.3.1. For wider channel bandwidth such as 200 MHz, TS 38.101-1 clause 6.5A.3 is referred.</w:t>
        </w:r>
      </w:hyperlink>
    </w:p>
    <w:p w14:paraId="7BAA8CAA" w14:textId="3954E1AD" w:rsidR="00483749"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743801" w:history="1">
        <w:r w:rsidR="00483749" w:rsidRPr="00E362D1">
          <w:rPr>
            <w:rStyle w:val="Hyperlink"/>
            <w:noProof/>
            <w:lang w:val="en-US"/>
          </w:rPr>
          <w:t>Proposal 2: Emission mask up to 100 MHz channel bandwidth is defined in TS 38.101-1 clause 6.5.2.2. For wider channel bandwidth, TS 38.101-1 clause 6.5A.2.2 is referred.</w:t>
        </w:r>
      </w:hyperlink>
    </w:p>
    <w:p w14:paraId="58E35476" w14:textId="45C4AFB9" w:rsidR="00483749"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743802" w:history="1">
        <w:r w:rsidR="00483749" w:rsidRPr="00E362D1">
          <w:rPr>
            <w:rStyle w:val="Hyperlink"/>
            <w:noProof/>
            <w:lang w:val="en-US" w:eastAsia="ja-JP"/>
          </w:rPr>
          <w:t>Proposal 3: Blocking and spurious response up to 100 MHz channel bandwidth is specified in clause 7.6 of TS 38.101-1. For wider channel bandwidth, the aggregated channel bandwidth of NR intra-band contiguous CA with bandwidth class C in clause 7.6A.2.1, 7.6A3.1 and 7.7A.1 is referred.</w:t>
        </w:r>
      </w:hyperlink>
    </w:p>
    <w:p w14:paraId="242C12B4" w14:textId="0BA612E4" w:rsidR="00483749" w:rsidRDefault="00000000">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81743803" w:history="1">
        <w:r w:rsidR="00483749" w:rsidRPr="00E362D1">
          <w:rPr>
            <w:rStyle w:val="Hyperlink"/>
            <w:b/>
            <w:bCs/>
            <w:noProof/>
            <w:lang w:val="en-US" w:eastAsia="ja-JP"/>
          </w:rPr>
          <w:t>Observation 1: No additional clarification is needed for channel bandwidth wider than 100 MHz for BS.</w:t>
        </w:r>
      </w:hyperlink>
    </w:p>
    <w:p w14:paraId="49D64314" w14:textId="1CECBF17" w:rsidR="00483749"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743804" w:history="1">
        <w:r w:rsidR="00483749" w:rsidRPr="00E362D1">
          <w:rPr>
            <w:rStyle w:val="Hyperlink"/>
            <w:noProof/>
            <w:lang w:val="en-US"/>
          </w:rPr>
          <w:t>Proposal 4:</w:t>
        </w:r>
        <w:r w:rsidR="00483749" w:rsidRPr="00E362D1">
          <w:rPr>
            <w:rStyle w:val="Hyperlink"/>
            <w:noProof/>
            <w:lang w:val="en-US" w:eastAsia="ja-JP"/>
          </w:rPr>
          <w:t xml:space="preserve"> 200</w:t>
        </w:r>
        <w:r w:rsidR="00483749" w:rsidRPr="00E362D1">
          <w:rPr>
            <w:rStyle w:val="Hyperlink"/>
            <w:noProof/>
            <w:lang w:val="en-US"/>
          </w:rPr>
          <w:t xml:space="preserve"> MHz </w:t>
        </w:r>
        <w:r w:rsidR="00483749" w:rsidRPr="00E362D1">
          <w:rPr>
            <w:rStyle w:val="Hyperlink"/>
            <w:noProof/>
            <w:lang w:val="en-US" w:eastAsia="ja-JP"/>
          </w:rPr>
          <w:t>is</w:t>
        </w:r>
        <w:r w:rsidR="00483749" w:rsidRPr="00E362D1">
          <w:rPr>
            <w:rStyle w:val="Hyperlink"/>
            <w:noProof/>
            <w:lang w:val="en-US"/>
          </w:rPr>
          <w:t xml:space="preserve"> communicated to WP5D as the typical maximum channel bandwidth for 14800 – 15350 MHz in the LS reply.</w:t>
        </w:r>
      </w:hyperlink>
    </w:p>
    <w:p w14:paraId="3BD83F3E" w14:textId="584D03F1" w:rsidR="00483749"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743805" w:history="1">
        <w:r w:rsidR="00483749" w:rsidRPr="00E362D1">
          <w:rPr>
            <w:rStyle w:val="Hyperlink"/>
            <w:noProof/>
            <w:lang w:val="en-US" w:eastAsia="ja-JP"/>
          </w:rPr>
          <w:t>Proposal 5: It is proposed that the NF=11 dB is mentioned in the TR as the typical value and 13 dB is the worst value including margins such as temperature or product variation, etc.</w:t>
        </w:r>
      </w:hyperlink>
    </w:p>
    <w:p w14:paraId="71FEF35B" w14:textId="300C83AB" w:rsidR="00483749"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743806" w:history="1">
        <w:r w:rsidR="00483749" w:rsidRPr="00E362D1">
          <w:rPr>
            <w:rStyle w:val="Hyperlink"/>
            <w:noProof/>
            <w:lang w:val="en-US" w:eastAsia="ja-JP"/>
          </w:rPr>
          <w:t>Proposal 6: The ACLR and ACS for 14800 to 15350 MHz should be relaxed for 9 dB compared to the current ones specified in FR1, i.e., 21 dB ACLR and 24 dB ACS.</w:t>
        </w:r>
      </w:hyperlink>
    </w:p>
    <w:p w14:paraId="2DCA716B" w14:textId="5CCACEFC" w:rsidR="00A557FB" w:rsidRDefault="00B51C35" w:rsidP="00132578">
      <w:pPr>
        <w:pStyle w:val="TOC5"/>
        <w:tabs>
          <w:tab w:val="right" w:leader="dot" w:pos="9617"/>
        </w:tabs>
        <w:rPr>
          <w:lang w:val="en-US"/>
        </w:rPr>
      </w:pPr>
      <w:r w:rsidRPr="00614DD8">
        <w:rPr>
          <w:lang w:val="en-US"/>
        </w:rPr>
        <w:fldChar w:fldCharType="end"/>
      </w:r>
      <w:bookmarkStart w:id="13"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5EF5E69E" w14:textId="77777777" w:rsidR="0071007E" w:rsidRPr="0071007E" w:rsidRDefault="0071007E" w:rsidP="00C83CBD">
      <w:pPr>
        <w:pStyle w:val="ListParagraph"/>
        <w:numPr>
          <w:ilvl w:val="0"/>
          <w:numId w:val="5"/>
        </w:numPr>
        <w:rPr>
          <w:lang w:val="en-US" w:eastAsia="ja-JP"/>
        </w:rPr>
      </w:pPr>
      <w:bookmarkStart w:id="14" w:name="_Ref114500673"/>
      <w:bookmarkStart w:id="15" w:name="_Ref178520813"/>
      <w:bookmarkStart w:id="16" w:name="_Ref177484858"/>
      <w:bookmarkEnd w:id="14"/>
      <w:r w:rsidRPr="0071007E">
        <w:rPr>
          <w:lang w:val="en-US" w:eastAsia="ja-JP"/>
        </w:rPr>
        <w:t>R4-2400333 Parameters of terrestrial component of IMT for sharing and compatibility studies in the frequency bands 4 400-4 800 MHz, 7 125-8 400 MHz and 14.8-15.35 GHz, ITU-R Working Party 5D</w:t>
      </w:r>
      <w:bookmarkEnd w:id="15"/>
    </w:p>
    <w:p w14:paraId="1A9D3443" w14:textId="18F060D0" w:rsidR="0071007E" w:rsidRPr="0071007E" w:rsidRDefault="0071007E" w:rsidP="00C83CBD">
      <w:pPr>
        <w:pStyle w:val="ListParagraph"/>
        <w:numPr>
          <w:ilvl w:val="0"/>
          <w:numId w:val="5"/>
        </w:numPr>
        <w:rPr>
          <w:lang w:val="en-US" w:eastAsia="ja-JP"/>
        </w:rPr>
      </w:pPr>
      <w:bookmarkStart w:id="17" w:name="_Ref178520828"/>
      <w:r w:rsidRPr="0071007E">
        <w:rPr>
          <w:lang w:val="en-US" w:eastAsia="ja-JP"/>
        </w:rPr>
        <w:t>RP-240787 New SI proposal: Study on IMT parameters for 4400 to 4800 MHz, 7125 to 8400 MHz and 14800 to 15350 MHz</w:t>
      </w:r>
      <w:bookmarkEnd w:id="17"/>
    </w:p>
    <w:p w14:paraId="3EBDD4D2" w14:textId="26DED1D3" w:rsidR="0071007E" w:rsidRDefault="0071007E" w:rsidP="00C83CBD">
      <w:pPr>
        <w:pStyle w:val="ListParagraph"/>
        <w:numPr>
          <w:ilvl w:val="0"/>
          <w:numId w:val="5"/>
        </w:numPr>
        <w:rPr>
          <w:lang w:val="en-US" w:eastAsia="ja-JP"/>
        </w:rPr>
      </w:pPr>
      <w:bookmarkStart w:id="18" w:name="_Ref178520913"/>
      <w:r w:rsidRPr="0071007E">
        <w:rPr>
          <w:lang w:val="en-US" w:eastAsia="ja-JP"/>
        </w:rPr>
        <w:t>R4-2410576, Draft LS on Parameters for 4400 to 4800 MHz of terrestrial component of IMT for sharing and compatibility studies in preparation for WRC-27, RAN4#111</w:t>
      </w:r>
      <w:bookmarkEnd w:id="18"/>
    </w:p>
    <w:p w14:paraId="515598C8" w14:textId="62AFAC27" w:rsidR="0071007E" w:rsidRDefault="0071007E" w:rsidP="00C83CBD">
      <w:pPr>
        <w:pStyle w:val="ListParagraph"/>
        <w:numPr>
          <w:ilvl w:val="0"/>
          <w:numId w:val="5"/>
        </w:numPr>
        <w:rPr>
          <w:lang w:val="en-US" w:eastAsia="ja-JP"/>
        </w:rPr>
      </w:pPr>
      <w:bookmarkStart w:id="19" w:name="_Ref178520915"/>
      <w:r w:rsidRPr="0071007E">
        <w:rPr>
          <w:lang w:val="en-US" w:eastAsia="ja-JP"/>
        </w:rPr>
        <w:t>R4-2414449</w:t>
      </w:r>
      <w:r w:rsidRPr="0071007E">
        <w:rPr>
          <w:lang w:val="en-US" w:eastAsia="ja-JP"/>
        </w:rPr>
        <w:tab/>
        <w:t>LS Reply on Parameters for 7125 to 8400 MHz of terrestrial component of IMT for sharing and compatibility studies in preparation for WRC-27</w:t>
      </w:r>
      <w:r>
        <w:rPr>
          <w:lang w:val="en-US" w:eastAsia="ja-JP"/>
        </w:rPr>
        <w:t>, RAN4#112</w:t>
      </w:r>
      <w:bookmarkEnd w:id="19"/>
    </w:p>
    <w:p w14:paraId="102F276D" w14:textId="22E826EA" w:rsidR="00E47EF8" w:rsidRDefault="00E47EF8" w:rsidP="00C83CBD">
      <w:pPr>
        <w:pStyle w:val="ListParagraph"/>
        <w:numPr>
          <w:ilvl w:val="0"/>
          <w:numId w:val="5"/>
        </w:numPr>
        <w:rPr>
          <w:lang w:val="en-US" w:eastAsia="ja-JP"/>
        </w:rPr>
      </w:pPr>
      <w:bookmarkStart w:id="20" w:name="_Ref178521506"/>
      <w:bookmarkStart w:id="21" w:name="_Ref181620476"/>
      <w:r w:rsidRPr="00E47EF8">
        <w:rPr>
          <w:lang w:val="en-US" w:eastAsia="ja-JP"/>
        </w:rPr>
        <w:t>DRAFT Meeting Report for TSG RAN WG4 meeting: 11</w:t>
      </w:r>
      <w:bookmarkEnd w:id="16"/>
      <w:bookmarkEnd w:id="20"/>
      <w:bookmarkEnd w:id="21"/>
      <w:r w:rsidR="00930483">
        <w:rPr>
          <w:lang w:val="en-US" w:eastAsia="ja-JP"/>
        </w:rPr>
        <w:t>2-bis</w:t>
      </w:r>
    </w:p>
    <w:p w14:paraId="5BA773A1" w14:textId="7CFAC270" w:rsidR="00930483" w:rsidRDefault="00930483" w:rsidP="00C83CBD">
      <w:pPr>
        <w:pStyle w:val="ListParagraph"/>
        <w:numPr>
          <w:ilvl w:val="0"/>
          <w:numId w:val="5"/>
        </w:numPr>
        <w:rPr>
          <w:lang w:val="en-US" w:eastAsia="ja-JP"/>
        </w:rPr>
      </w:pPr>
      <w:bookmarkStart w:id="22" w:name="_Ref181632554"/>
      <w:r w:rsidRPr="00930483">
        <w:rPr>
          <w:lang w:val="en-US" w:eastAsia="ja-JP"/>
        </w:rPr>
        <w:t>R4-2417108</w:t>
      </w:r>
      <w:r>
        <w:rPr>
          <w:lang w:val="en-US" w:eastAsia="ja-JP"/>
        </w:rPr>
        <w:t xml:space="preserve"> </w:t>
      </w:r>
      <w:r w:rsidRPr="00930483">
        <w:rPr>
          <w:lang w:val="en-US" w:eastAsia="ja-JP"/>
        </w:rPr>
        <w:t>WF on 15GHz UE parameters</w:t>
      </w:r>
      <w:r>
        <w:rPr>
          <w:lang w:val="en-US" w:eastAsia="ja-JP"/>
        </w:rPr>
        <w:t>, RAN4#112-bis</w:t>
      </w:r>
      <w:bookmarkEnd w:id="22"/>
    </w:p>
    <w:p w14:paraId="03EF830F" w14:textId="34DE7CFF" w:rsidR="00622DD5" w:rsidRDefault="00622DD5" w:rsidP="00C83CBD">
      <w:pPr>
        <w:pStyle w:val="ListParagraph"/>
        <w:numPr>
          <w:ilvl w:val="0"/>
          <w:numId w:val="5"/>
        </w:numPr>
        <w:tabs>
          <w:tab w:val="center" w:pos="4153"/>
          <w:tab w:val="right" w:pos="8306"/>
        </w:tabs>
        <w:spacing w:after="0"/>
      </w:pPr>
      <w:bookmarkStart w:id="23" w:name="_Ref181743476"/>
      <w:r w:rsidRPr="00030788">
        <w:t>R</w:t>
      </w:r>
      <w:r>
        <w:t>4</w:t>
      </w:r>
      <w:r w:rsidRPr="00030788">
        <w:t>-2</w:t>
      </w:r>
      <w:r>
        <w:t>417</w:t>
      </w:r>
      <w:r w:rsidR="0069560C">
        <w:rPr>
          <w:rFonts w:hint="eastAsia"/>
          <w:lang w:eastAsia="ja-JP"/>
        </w:rPr>
        <w:t>536</w:t>
      </w:r>
      <w:r w:rsidRPr="00030788">
        <w:t>, “</w:t>
      </w:r>
      <w:r w:rsidRPr="00796281">
        <w:t>Urban macro coexistence simulation results for 14800 to 15350 MHz frequency range</w:t>
      </w:r>
      <w:r w:rsidRPr="004353F6">
        <w:t xml:space="preserve"> </w:t>
      </w:r>
      <w:r w:rsidRPr="004C10D6">
        <w:t xml:space="preserve">with </w:t>
      </w:r>
      <w:r>
        <w:t>1</w:t>
      </w:r>
      <w:r w:rsidRPr="004C10D6">
        <w:t xml:space="preserve"> UE per slot</w:t>
      </w:r>
      <w:r w:rsidRPr="00030788">
        <w:t>”, Nokia.</w:t>
      </w:r>
      <w:bookmarkEnd w:id="23"/>
    </w:p>
    <w:p w14:paraId="16837B51" w14:textId="2D27C0C2" w:rsidR="00622DD5" w:rsidRDefault="00622DD5" w:rsidP="00C83CBD">
      <w:pPr>
        <w:pStyle w:val="ListParagraph"/>
        <w:numPr>
          <w:ilvl w:val="0"/>
          <w:numId w:val="5"/>
        </w:numPr>
        <w:tabs>
          <w:tab w:val="center" w:pos="4153"/>
          <w:tab w:val="right" w:pos="8306"/>
        </w:tabs>
        <w:spacing w:after="0"/>
      </w:pPr>
      <w:bookmarkStart w:id="24" w:name="_Ref181743488"/>
      <w:r w:rsidRPr="00030788">
        <w:t>R</w:t>
      </w:r>
      <w:r>
        <w:t>4</w:t>
      </w:r>
      <w:r w:rsidRPr="00030788">
        <w:t>-2</w:t>
      </w:r>
      <w:r>
        <w:t>417</w:t>
      </w:r>
      <w:r w:rsidR="00C556F7">
        <w:rPr>
          <w:rFonts w:hint="eastAsia"/>
          <w:lang w:eastAsia="ja-JP"/>
        </w:rPr>
        <w:t>537</w:t>
      </w:r>
      <w:r w:rsidRPr="00030788">
        <w:t>, “</w:t>
      </w:r>
      <w:r w:rsidRPr="004C10D6">
        <w:t>Urban macro coexistence simulation results for 14800 to 15350 MHz frequency range with 3 UE per slot</w:t>
      </w:r>
      <w:r w:rsidRPr="00030788">
        <w:t>”, Nokia.</w:t>
      </w:r>
      <w:bookmarkEnd w:id="24"/>
    </w:p>
    <w:p w14:paraId="2F260AFF" w14:textId="77777777" w:rsidR="00A837AE" w:rsidRPr="00C556F7" w:rsidRDefault="00A837AE" w:rsidP="0006497F">
      <w:pPr>
        <w:pStyle w:val="ListParagraph"/>
        <w:ind w:left="360"/>
        <w:rPr>
          <w:lang w:eastAsia="ja-JP"/>
        </w:rPr>
      </w:pPr>
    </w:p>
    <w:sectPr w:rsidR="00A837AE" w:rsidRPr="00C556F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A7971" w14:textId="77777777" w:rsidR="00043C0B" w:rsidRDefault="00043C0B" w:rsidP="00001C9B">
      <w:pPr>
        <w:spacing w:after="0" w:line="240" w:lineRule="auto"/>
      </w:pPr>
      <w:r>
        <w:separator/>
      </w:r>
    </w:p>
  </w:endnote>
  <w:endnote w:type="continuationSeparator" w:id="0">
    <w:p w14:paraId="56DB53A7" w14:textId="77777777" w:rsidR="00043C0B" w:rsidRDefault="00043C0B" w:rsidP="00001C9B">
      <w:pPr>
        <w:spacing w:after="0" w:line="240" w:lineRule="auto"/>
      </w:pPr>
      <w:r>
        <w:continuationSeparator/>
      </w:r>
    </w:p>
  </w:endnote>
  <w:endnote w:type="continuationNotice" w:id="1">
    <w:p w14:paraId="238F4D09" w14:textId="77777777" w:rsidR="00043C0B" w:rsidRDefault="00043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440CB" w14:textId="77777777" w:rsidR="00043C0B" w:rsidRDefault="00043C0B" w:rsidP="00001C9B">
      <w:pPr>
        <w:spacing w:after="0" w:line="240" w:lineRule="auto"/>
      </w:pPr>
      <w:r>
        <w:separator/>
      </w:r>
    </w:p>
  </w:footnote>
  <w:footnote w:type="continuationSeparator" w:id="0">
    <w:p w14:paraId="779A74C1" w14:textId="77777777" w:rsidR="00043C0B" w:rsidRDefault="00043C0B" w:rsidP="00001C9B">
      <w:pPr>
        <w:spacing w:after="0" w:line="240" w:lineRule="auto"/>
      </w:pPr>
      <w:r>
        <w:continuationSeparator/>
      </w:r>
    </w:p>
  </w:footnote>
  <w:footnote w:type="continuationNotice" w:id="1">
    <w:p w14:paraId="2E4D64DC" w14:textId="77777777" w:rsidR="00043C0B" w:rsidRDefault="00043C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C51242"/>
    <w:multiLevelType w:val="multilevel"/>
    <w:tmpl w:val="14069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C39C2"/>
    <w:multiLevelType w:val="multilevel"/>
    <w:tmpl w:val="0B5C2E18"/>
    <w:lvl w:ilvl="0">
      <w:start w:val="1"/>
      <w:numFmt w:val="bullet"/>
      <w:lvlText w:val=""/>
      <w:lvlJc w:val="left"/>
      <w:pPr>
        <w:ind w:left="-266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1224" w:hanging="360"/>
      </w:pPr>
      <w:rPr>
        <w:rFonts w:ascii="Wingdings" w:hAnsi="Wingdings" w:hint="default"/>
      </w:rPr>
    </w:lvl>
    <w:lvl w:ilvl="3">
      <w:start w:val="1"/>
      <w:numFmt w:val="bullet"/>
      <w:lvlText w:val=""/>
      <w:lvlJc w:val="left"/>
      <w:pPr>
        <w:ind w:left="-504" w:hanging="360"/>
      </w:pPr>
      <w:rPr>
        <w:rFonts w:ascii="Symbol" w:hAnsi="Symbol" w:hint="default"/>
      </w:rPr>
    </w:lvl>
    <w:lvl w:ilvl="4">
      <w:start w:val="1"/>
      <w:numFmt w:val="bullet"/>
      <w:lvlText w:val="o"/>
      <w:lvlJc w:val="left"/>
      <w:pPr>
        <w:ind w:left="216" w:hanging="360"/>
      </w:pPr>
      <w:rPr>
        <w:rFonts w:ascii="Courier New" w:hAnsi="Courier New" w:cs="Courier New" w:hint="default"/>
      </w:rPr>
    </w:lvl>
    <w:lvl w:ilvl="5">
      <w:start w:val="1"/>
      <w:numFmt w:val="bullet"/>
      <w:lvlText w:val=""/>
      <w:lvlJc w:val="left"/>
      <w:pPr>
        <w:ind w:left="936" w:hanging="360"/>
      </w:pPr>
      <w:rPr>
        <w:rFonts w:ascii="Wingdings" w:hAnsi="Wingdings" w:hint="default"/>
      </w:rPr>
    </w:lvl>
    <w:lvl w:ilvl="6">
      <w:start w:val="1"/>
      <w:numFmt w:val="bullet"/>
      <w:lvlText w:val=""/>
      <w:lvlJc w:val="left"/>
      <w:pPr>
        <w:ind w:left="1656" w:hanging="360"/>
      </w:pPr>
      <w:rPr>
        <w:rFonts w:ascii="Symbol" w:hAnsi="Symbol" w:hint="default"/>
      </w:rPr>
    </w:lvl>
    <w:lvl w:ilvl="7">
      <w:start w:val="1"/>
      <w:numFmt w:val="bullet"/>
      <w:lvlText w:val="o"/>
      <w:lvlJc w:val="left"/>
      <w:pPr>
        <w:ind w:left="2376" w:hanging="360"/>
      </w:pPr>
      <w:rPr>
        <w:rFonts w:ascii="Courier New" w:hAnsi="Courier New" w:cs="Courier New" w:hint="default"/>
      </w:rPr>
    </w:lvl>
    <w:lvl w:ilvl="8">
      <w:start w:val="1"/>
      <w:numFmt w:val="bullet"/>
      <w:lvlText w:val=""/>
      <w:lvlJc w:val="left"/>
      <w:pPr>
        <w:ind w:left="3096" w:hanging="360"/>
      </w:pPr>
      <w:rPr>
        <w:rFonts w:ascii="Wingdings" w:hAnsi="Wingdings" w:hint="default"/>
      </w:rPr>
    </w:lvl>
  </w:abstractNum>
  <w:abstractNum w:abstractNumId="4" w15:restartNumberingAfterBreak="0">
    <w:nsid w:val="46B43B9D"/>
    <w:multiLevelType w:val="hybridMultilevel"/>
    <w:tmpl w:val="07C0B47E"/>
    <w:lvl w:ilvl="0" w:tplc="F0441B84">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488FBC8"/>
    <w:lvl w:ilvl="0" w:tplc="E0640DDA">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0B5C2E18"/>
    <w:lvl w:ilvl="0">
      <w:start w:val="1"/>
      <w:numFmt w:val="bullet"/>
      <w:lvlText w:val=""/>
      <w:lvlJc w:val="left"/>
      <w:pPr>
        <w:ind w:left="-266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1224" w:hanging="360"/>
      </w:pPr>
      <w:rPr>
        <w:rFonts w:ascii="Wingdings" w:hAnsi="Wingdings" w:hint="default"/>
      </w:rPr>
    </w:lvl>
    <w:lvl w:ilvl="3">
      <w:start w:val="1"/>
      <w:numFmt w:val="bullet"/>
      <w:lvlText w:val=""/>
      <w:lvlJc w:val="left"/>
      <w:pPr>
        <w:ind w:left="-504" w:hanging="360"/>
      </w:pPr>
      <w:rPr>
        <w:rFonts w:ascii="Symbol" w:hAnsi="Symbol" w:hint="default"/>
      </w:rPr>
    </w:lvl>
    <w:lvl w:ilvl="4">
      <w:start w:val="1"/>
      <w:numFmt w:val="bullet"/>
      <w:lvlText w:val="o"/>
      <w:lvlJc w:val="left"/>
      <w:pPr>
        <w:ind w:left="216" w:hanging="360"/>
      </w:pPr>
      <w:rPr>
        <w:rFonts w:ascii="Courier New" w:hAnsi="Courier New" w:cs="Courier New" w:hint="default"/>
      </w:rPr>
    </w:lvl>
    <w:lvl w:ilvl="5">
      <w:start w:val="1"/>
      <w:numFmt w:val="bullet"/>
      <w:lvlText w:val=""/>
      <w:lvlJc w:val="left"/>
      <w:pPr>
        <w:ind w:left="936" w:hanging="360"/>
      </w:pPr>
      <w:rPr>
        <w:rFonts w:ascii="Wingdings" w:hAnsi="Wingdings" w:hint="default"/>
      </w:rPr>
    </w:lvl>
    <w:lvl w:ilvl="6">
      <w:start w:val="1"/>
      <w:numFmt w:val="bullet"/>
      <w:lvlText w:val=""/>
      <w:lvlJc w:val="left"/>
      <w:pPr>
        <w:ind w:left="1656" w:hanging="360"/>
      </w:pPr>
      <w:rPr>
        <w:rFonts w:ascii="Symbol" w:hAnsi="Symbol" w:hint="default"/>
      </w:rPr>
    </w:lvl>
    <w:lvl w:ilvl="7">
      <w:start w:val="1"/>
      <w:numFmt w:val="bullet"/>
      <w:lvlText w:val="o"/>
      <w:lvlJc w:val="left"/>
      <w:pPr>
        <w:ind w:left="2376" w:hanging="360"/>
      </w:pPr>
      <w:rPr>
        <w:rFonts w:ascii="Courier New" w:hAnsi="Courier New" w:cs="Courier New" w:hint="default"/>
      </w:rPr>
    </w:lvl>
    <w:lvl w:ilvl="8">
      <w:start w:val="1"/>
      <w:numFmt w:val="bullet"/>
      <w:lvlText w:val=""/>
      <w:lvlJc w:val="left"/>
      <w:pPr>
        <w:ind w:left="3096"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6904C51"/>
    <w:multiLevelType w:val="hybridMultilevel"/>
    <w:tmpl w:val="C2AE0A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9"/>
  </w:num>
  <w:num w:numId="5" w16cid:durableId="1659071369">
    <w:abstractNumId w:val="8"/>
  </w:num>
  <w:num w:numId="6" w16cid:durableId="143009612">
    <w:abstractNumId w:val="0"/>
  </w:num>
  <w:num w:numId="7" w16cid:durableId="1841003140">
    <w:abstractNumId w:val="7"/>
  </w:num>
  <w:num w:numId="8" w16cid:durableId="143090286">
    <w:abstractNumId w:val="12"/>
  </w:num>
  <w:num w:numId="9" w16cid:durableId="708192161">
    <w:abstractNumId w:val="10"/>
  </w:num>
  <w:num w:numId="10" w16cid:durableId="321471174">
    <w:abstractNumId w:val="11"/>
  </w:num>
  <w:num w:numId="11" w16cid:durableId="671954280">
    <w:abstractNumId w:val="1"/>
  </w:num>
  <w:num w:numId="12" w16cid:durableId="589243761">
    <w:abstractNumId w:val="2"/>
  </w:num>
  <w:num w:numId="13" w16cid:durableId="176229127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4884"/>
    <w:rsid w:val="00005926"/>
    <w:rsid w:val="00011784"/>
    <w:rsid w:val="000151EF"/>
    <w:rsid w:val="000239F5"/>
    <w:rsid w:val="00030D12"/>
    <w:rsid w:val="00043C0B"/>
    <w:rsid w:val="00054B9B"/>
    <w:rsid w:val="00054F7C"/>
    <w:rsid w:val="000567BA"/>
    <w:rsid w:val="0006390D"/>
    <w:rsid w:val="0006497F"/>
    <w:rsid w:val="00067893"/>
    <w:rsid w:val="00071CAC"/>
    <w:rsid w:val="00072CCA"/>
    <w:rsid w:val="000763AA"/>
    <w:rsid w:val="0008612A"/>
    <w:rsid w:val="00090E18"/>
    <w:rsid w:val="000A10BC"/>
    <w:rsid w:val="000A7F53"/>
    <w:rsid w:val="000B0056"/>
    <w:rsid w:val="000B6504"/>
    <w:rsid w:val="000B7840"/>
    <w:rsid w:val="000C2E56"/>
    <w:rsid w:val="000C3C7B"/>
    <w:rsid w:val="000C6477"/>
    <w:rsid w:val="000D0F93"/>
    <w:rsid w:val="000D2FC0"/>
    <w:rsid w:val="000E00CD"/>
    <w:rsid w:val="000E22B6"/>
    <w:rsid w:val="000F1C85"/>
    <w:rsid w:val="000F45C8"/>
    <w:rsid w:val="0010107E"/>
    <w:rsid w:val="00106416"/>
    <w:rsid w:val="00110481"/>
    <w:rsid w:val="001127C9"/>
    <w:rsid w:val="00114498"/>
    <w:rsid w:val="001153AD"/>
    <w:rsid w:val="00115B88"/>
    <w:rsid w:val="00117E34"/>
    <w:rsid w:val="001213D0"/>
    <w:rsid w:val="00125030"/>
    <w:rsid w:val="00126C0F"/>
    <w:rsid w:val="00132578"/>
    <w:rsid w:val="00132F6A"/>
    <w:rsid w:val="00133913"/>
    <w:rsid w:val="00140221"/>
    <w:rsid w:val="001519D8"/>
    <w:rsid w:val="00153EAE"/>
    <w:rsid w:val="001642FC"/>
    <w:rsid w:val="0016496B"/>
    <w:rsid w:val="00164F96"/>
    <w:rsid w:val="001662FD"/>
    <w:rsid w:val="00172B3A"/>
    <w:rsid w:val="001743E2"/>
    <w:rsid w:val="001745F8"/>
    <w:rsid w:val="00175518"/>
    <w:rsid w:val="001812A9"/>
    <w:rsid w:val="001838CF"/>
    <w:rsid w:val="001868EE"/>
    <w:rsid w:val="00193A5A"/>
    <w:rsid w:val="00196040"/>
    <w:rsid w:val="001A3BA4"/>
    <w:rsid w:val="001A47C9"/>
    <w:rsid w:val="001A6D1F"/>
    <w:rsid w:val="001A7C64"/>
    <w:rsid w:val="001B1EA8"/>
    <w:rsid w:val="001C1ED4"/>
    <w:rsid w:val="001C55AA"/>
    <w:rsid w:val="001C565A"/>
    <w:rsid w:val="001E30F6"/>
    <w:rsid w:val="00204AA4"/>
    <w:rsid w:val="00217EE5"/>
    <w:rsid w:val="00220DA0"/>
    <w:rsid w:val="00224EC1"/>
    <w:rsid w:val="00235F5C"/>
    <w:rsid w:val="00246218"/>
    <w:rsid w:val="00251D72"/>
    <w:rsid w:val="00257FA3"/>
    <w:rsid w:val="002617A4"/>
    <w:rsid w:val="0026212E"/>
    <w:rsid w:val="00277B56"/>
    <w:rsid w:val="00282A74"/>
    <w:rsid w:val="002849D4"/>
    <w:rsid w:val="002943ED"/>
    <w:rsid w:val="00296854"/>
    <w:rsid w:val="002A19F5"/>
    <w:rsid w:val="002B3393"/>
    <w:rsid w:val="002B4922"/>
    <w:rsid w:val="002B69F3"/>
    <w:rsid w:val="002C22C3"/>
    <w:rsid w:val="002C2D19"/>
    <w:rsid w:val="002D10FA"/>
    <w:rsid w:val="002D4C55"/>
    <w:rsid w:val="002E0DE7"/>
    <w:rsid w:val="002E6DED"/>
    <w:rsid w:val="003002EC"/>
    <w:rsid w:val="00300956"/>
    <w:rsid w:val="00304FA7"/>
    <w:rsid w:val="00312251"/>
    <w:rsid w:val="00317187"/>
    <w:rsid w:val="0032499A"/>
    <w:rsid w:val="003324F7"/>
    <w:rsid w:val="00333BC7"/>
    <w:rsid w:val="003341F7"/>
    <w:rsid w:val="003424F6"/>
    <w:rsid w:val="003463E7"/>
    <w:rsid w:val="00347D04"/>
    <w:rsid w:val="00347FEC"/>
    <w:rsid w:val="003509DF"/>
    <w:rsid w:val="00355F57"/>
    <w:rsid w:val="00356F45"/>
    <w:rsid w:val="00361DA2"/>
    <w:rsid w:val="00366B74"/>
    <w:rsid w:val="003672F0"/>
    <w:rsid w:val="00381F95"/>
    <w:rsid w:val="00387024"/>
    <w:rsid w:val="003A6FD1"/>
    <w:rsid w:val="003A710A"/>
    <w:rsid w:val="003A7BAF"/>
    <w:rsid w:val="003B0F84"/>
    <w:rsid w:val="003B4D1A"/>
    <w:rsid w:val="003B659E"/>
    <w:rsid w:val="003B6C59"/>
    <w:rsid w:val="003C275E"/>
    <w:rsid w:val="003C4CDE"/>
    <w:rsid w:val="003C4FDE"/>
    <w:rsid w:val="003D44AF"/>
    <w:rsid w:val="003E544C"/>
    <w:rsid w:val="003E58DF"/>
    <w:rsid w:val="003F3365"/>
    <w:rsid w:val="00404C4C"/>
    <w:rsid w:val="00412486"/>
    <w:rsid w:val="00412C0E"/>
    <w:rsid w:val="00412E2E"/>
    <w:rsid w:val="0041423F"/>
    <w:rsid w:val="00414F81"/>
    <w:rsid w:val="00416033"/>
    <w:rsid w:val="00436A0F"/>
    <w:rsid w:val="00437150"/>
    <w:rsid w:val="0043750A"/>
    <w:rsid w:val="004439ED"/>
    <w:rsid w:val="00447577"/>
    <w:rsid w:val="00454E3E"/>
    <w:rsid w:val="00455822"/>
    <w:rsid w:val="00464963"/>
    <w:rsid w:val="004732E9"/>
    <w:rsid w:val="004827C5"/>
    <w:rsid w:val="00483749"/>
    <w:rsid w:val="004854BB"/>
    <w:rsid w:val="00494493"/>
    <w:rsid w:val="00496606"/>
    <w:rsid w:val="00497BD8"/>
    <w:rsid w:val="004A52D9"/>
    <w:rsid w:val="004A71D2"/>
    <w:rsid w:val="004B199E"/>
    <w:rsid w:val="004C209E"/>
    <w:rsid w:val="004C2F76"/>
    <w:rsid w:val="004C41A6"/>
    <w:rsid w:val="004D1091"/>
    <w:rsid w:val="004D5EF2"/>
    <w:rsid w:val="004E1027"/>
    <w:rsid w:val="004E53D8"/>
    <w:rsid w:val="004E5E66"/>
    <w:rsid w:val="004E7ADB"/>
    <w:rsid w:val="004F3F11"/>
    <w:rsid w:val="004F4255"/>
    <w:rsid w:val="00503B4D"/>
    <w:rsid w:val="00504EE9"/>
    <w:rsid w:val="00510F62"/>
    <w:rsid w:val="00514E4F"/>
    <w:rsid w:val="00515349"/>
    <w:rsid w:val="005205D2"/>
    <w:rsid w:val="00521576"/>
    <w:rsid w:val="005250E6"/>
    <w:rsid w:val="0053213A"/>
    <w:rsid w:val="00542D23"/>
    <w:rsid w:val="0054425A"/>
    <w:rsid w:val="0054442C"/>
    <w:rsid w:val="00550285"/>
    <w:rsid w:val="005604C9"/>
    <w:rsid w:val="00562492"/>
    <w:rsid w:val="005679F6"/>
    <w:rsid w:val="005701A9"/>
    <w:rsid w:val="00570355"/>
    <w:rsid w:val="00572314"/>
    <w:rsid w:val="00572A20"/>
    <w:rsid w:val="005836F8"/>
    <w:rsid w:val="00586302"/>
    <w:rsid w:val="005918FA"/>
    <w:rsid w:val="00592A86"/>
    <w:rsid w:val="0059689C"/>
    <w:rsid w:val="005A3276"/>
    <w:rsid w:val="005B3029"/>
    <w:rsid w:val="005B3FB1"/>
    <w:rsid w:val="005B4801"/>
    <w:rsid w:val="005B5717"/>
    <w:rsid w:val="005B6B5C"/>
    <w:rsid w:val="005C23A4"/>
    <w:rsid w:val="005D1CDF"/>
    <w:rsid w:val="005D2BB7"/>
    <w:rsid w:val="005D6FFE"/>
    <w:rsid w:val="005E2574"/>
    <w:rsid w:val="005E5CFF"/>
    <w:rsid w:val="005E61A8"/>
    <w:rsid w:val="005F0BE5"/>
    <w:rsid w:val="005F16BD"/>
    <w:rsid w:val="005F2E16"/>
    <w:rsid w:val="005F444B"/>
    <w:rsid w:val="005F6419"/>
    <w:rsid w:val="005F6E02"/>
    <w:rsid w:val="006018C0"/>
    <w:rsid w:val="0060301D"/>
    <w:rsid w:val="006033FE"/>
    <w:rsid w:val="0060543D"/>
    <w:rsid w:val="006064A4"/>
    <w:rsid w:val="006104DD"/>
    <w:rsid w:val="006130B5"/>
    <w:rsid w:val="00614DD8"/>
    <w:rsid w:val="0061508D"/>
    <w:rsid w:val="00616649"/>
    <w:rsid w:val="00617400"/>
    <w:rsid w:val="00622DD5"/>
    <w:rsid w:val="00632D29"/>
    <w:rsid w:val="00635FE2"/>
    <w:rsid w:val="006369F3"/>
    <w:rsid w:val="006402B0"/>
    <w:rsid w:val="0065710E"/>
    <w:rsid w:val="00664950"/>
    <w:rsid w:val="00674591"/>
    <w:rsid w:val="00677811"/>
    <w:rsid w:val="00683220"/>
    <w:rsid w:val="00687FA0"/>
    <w:rsid w:val="0069560C"/>
    <w:rsid w:val="006A3C11"/>
    <w:rsid w:val="006B0C80"/>
    <w:rsid w:val="006B29A0"/>
    <w:rsid w:val="006B7010"/>
    <w:rsid w:val="006C3095"/>
    <w:rsid w:val="006D16F0"/>
    <w:rsid w:val="006D59C6"/>
    <w:rsid w:val="006E1151"/>
    <w:rsid w:val="006E23CF"/>
    <w:rsid w:val="006E368B"/>
    <w:rsid w:val="006E43E9"/>
    <w:rsid w:val="006E6311"/>
    <w:rsid w:val="006F6C6A"/>
    <w:rsid w:val="006F78D3"/>
    <w:rsid w:val="0071007E"/>
    <w:rsid w:val="007145FF"/>
    <w:rsid w:val="00715B2A"/>
    <w:rsid w:val="00722C07"/>
    <w:rsid w:val="00723910"/>
    <w:rsid w:val="00733B21"/>
    <w:rsid w:val="0073422C"/>
    <w:rsid w:val="0073545A"/>
    <w:rsid w:val="00743424"/>
    <w:rsid w:val="007450F1"/>
    <w:rsid w:val="00751515"/>
    <w:rsid w:val="00755364"/>
    <w:rsid w:val="00755D32"/>
    <w:rsid w:val="007626B7"/>
    <w:rsid w:val="0078212B"/>
    <w:rsid w:val="00783E94"/>
    <w:rsid w:val="00784DF6"/>
    <w:rsid w:val="00785232"/>
    <w:rsid w:val="007A3531"/>
    <w:rsid w:val="007A56FE"/>
    <w:rsid w:val="007B186C"/>
    <w:rsid w:val="007C1696"/>
    <w:rsid w:val="007C3ED0"/>
    <w:rsid w:val="007C48C4"/>
    <w:rsid w:val="007C5971"/>
    <w:rsid w:val="007E1232"/>
    <w:rsid w:val="007E42DC"/>
    <w:rsid w:val="007F54B9"/>
    <w:rsid w:val="00805F3A"/>
    <w:rsid w:val="00806A76"/>
    <w:rsid w:val="00811C9D"/>
    <w:rsid w:val="00816C80"/>
    <w:rsid w:val="0081797B"/>
    <w:rsid w:val="00820DE7"/>
    <w:rsid w:val="00840AD4"/>
    <w:rsid w:val="00841BCD"/>
    <w:rsid w:val="008445AA"/>
    <w:rsid w:val="00846760"/>
    <w:rsid w:val="00847264"/>
    <w:rsid w:val="00847D71"/>
    <w:rsid w:val="00851A8E"/>
    <w:rsid w:val="0085365B"/>
    <w:rsid w:val="00853F01"/>
    <w:rsid w:val="008571A5"/>
    <w:rsid w:val="00880BA1"/>
    <w:rsid w:val="008826C1"/>
    <w:rsid w:val="00883DFD"/>
    <w:rsid w:val="00890F3F"/>
    <w:rsid w:val="0089210C"/>
    <w:rsid w:val="00893D2E"/>
    <w:rsid w:val="008A1BBD"/>
    <w:rsid w:val="008A1BF7"/>
    <w:rsid w:val="008A5B0E"/>
    <w:rsid w:val="008A61F3"/>
    <w:rsid w:val="008B0961"/>
    <w:rsid w:val="008C39F7"/>
    <w:rsid w:val="008C7BCA"/>
    <w:rsid w:val="008D34AE"/>
    <w:rsid w:val="008D57FB"/>
    <w:rsid w:val="008D672B"/>
    <w:rsid w:val="008F1121"/>
    <w:rsid w:val="008F1D8E"/>
    <w:rsid w:val="0090091A"/>
    <w:rsid w:val="009042BD"/>
    <w:rsid w:val="00904FE4"/>
    <w:rsid w:val="00905365"/>
    <w:rsid w:val="00906406"/>
    <w:rsid w:val="009068ED"/>
    <w:rsid w:val="00907D7E"/>
    <w:rsid w:val="009133F6"/>
    <w:rsid w:val="00913BFF"/>
    <w:rsid w:val="00927740"/>
    <w:rsid w:val="00930483"/>
    <w:rsid w:val="00931197"/>
    <w:rsid w:val="00935B54"/>
    <w:rsid w:val="00936159"/>
    <w:rsid w:val="00943918"/>
    <w:rsid w:val="00944AA1"/>
    <w:rsid w:val="009564A7"/>
    <w:rsid w:val="00962849"/>
    <w:rsid w:val="009756AA"/>
    <w:rsid w:val="009774B3"/>
    <w:rsid w:val="00977E1D"/>
    <w:rsid w:val="00982A75"/>
    <w:rsid w:val="00997B44"/>
    <w:rsid w:val="00997EF7"/>
    <w:rsid w:val="009A419B"/>
    <w:rsid w:val="009B0573"/>
    <w:rsid w:val="009B4724"/>
    <w:rsid w:val="009B5CF8"/>
    <w:rsid w:val="009B5DE1"/>
    <w:rsid w:val="009B7B4B"/>
    <w:rsid w:val="009B7C21"/>
    <w:rsid w:val="009B7C3D"/>
    <w:rsid w:val="009C2CDB"/>
    <w:rsid w:val="009C46D3"/>
    <w:rsid w:val="009C47CB"/>
    <w:rsid w:val="009E4E6E"/>
    <w:rsid w:val="00A04992"/>
    <w:rsid w:val="00A04A4A"/>
    <w:rsid w:val="00A147AA"/>
    <w:rsid w:val="00A21D71"/>
    <w:rsid w:val="00A22B78"/>
    <w:rsid w:val="00A246F7"/>
    <w:rsid w:val="00A24AFE"/>
    <w:rsid w:val="00A25AE5"/>
    <w:rsid w:val="00A26442"/>
    <w:rsid w:val="00A3597D"/>
    <w:rsid w:val="00A37002"/>
    <w:rsid w:val="00A375FC"/>
    <w:rsid w:val="00A4355E"/>
    <w:rsid w:val="00A520D9"/>
    <w:rsid w:val="00A557FB"/>
    <w:rsid w:val="00A56CC6"/>
    <w:rsid w:val="00A60355"/>
    <w:rsid w:val="00A64DA0"/>
    <w:rsid w:val="00A73B72"/>
    <w:rsid w:val="00A76515"/>
    <w:rsid w:val="00A837AE"/>
    <w:rsid w:val="00A8664B"/>
    <w:rsid w:val="00A87DD7"/>
    <w:rsid w:val="00A92BCD"/>
    <w:rsid w:val="00AA1B0E"/>
    <w:rsid w:val="00AA47B6"/>
    <w:rsid w:val="00AB1D66"/>
    <w:rsid w:val="00AC0DC5"/>
    <w:rsid w:val="00AC163B"/>
    <w:rsid w:val="00AC5CA7"/>
    <w:rsid w:val="00AC6058"/>
    <w:rsid w:val="00AC6923"/>
    <w:rsid w:val="00AD1366"/>
    <w:rsid w:val="00AD22D3"/>
    <w:rsid w:val="00AD59B4"/>
    <w:rsid w:val="00AE2219"/>
    <w:rsid w:val="00AE2BA5"/>
    <w:rsid w:val="00AE56B1"/>
    <w:rsid w:val="00AE6D09"/>
    <w:rsid w:val="00AF0D9D"/>
    <w:rsid w:val="00AF525C"/>
    <w:rsid w:val="00AF7A7C"/>
    <w:rsid w:val="00B02070"/>
    <w:rsid w:val="00B04610"/>
    <w:rsid w:val="00B04F76"/>
    <w:rsid w:val="00B11753"/>
    <w:rsid w:val="00B408B6"/>
    <w:rsid w:val="00B41913"/>
    <w:rsid w:val="00B4382D"/>
    <w:rsid w:val="00B513DE"/>
    <w:rsid w:val="00B51C35"/>
    <w:rsid w:val="00B542DA"/>
    <w:rsid w:val="00B54AEC"/>
    <w:rsid w:val="00B72A0C"/>
    <w:rsid w:val="00B73862"/>
    <w:rsid w:val="00B73F43"/>
    <w:rsid w:val="00B75BBF"/>
    <w:rsid w:val="00B81CDC"/>
    <w:rsid w:val="00B94316"/>
    <w:rsid w:val="00BA1E12"/>
    <w:rsid w:val="00BA308C"/>
    <w:rsid w:val="00BA6B66"/>
    <w:rsid w:val="00BA6E48"/>
    <w:rsid w:val="00BB16A9"/>
    <w:rsid w:val="00BB3872"/>
    <w:rsid w:val="00BB4EC9"/>
    <w:rsid w:val="00BC255F"/>
    <w:rsid w:val="00BD3615"/>
    <w:rsid w:val="00BE0AF6"/>
    <w:rsid w:val="00BE1F03"/>
    <w:rsid w:val="00BE54A6"/>
    <w:rsid w:val="00BE58A7"/>
    <w:rsid w:val="00BF2218"/>
    <w:rsid w:val="00C0426B"/>
    <w:rsid w:val="00C045DF"/>
    <w:rsid w:val="00C203FD"/>
    <w:rsid w:val="00C26C76"/>
    <w:rsid w:val="00C26D43"/>
    <w:rsid w:val="00C35173"/>
    <w:rsid w:val="00C36DC4"/>
    <w:rsid w:val="00C46548"/>
    <w:rsid w:val="00C521FA"/>
    <w:rsid w:val="00C53263"/>
    <w:rsid w:val="00C55338"/>
    <w:rsid w:val="00C556F7"/>
    <w:rsid w:val="00C574D5"/>
    <w:rsid w:val="00C624DD"/>
    <w:rsid w:val="00C62C3C"/>
    <w:rsid w:val="00C62EDB"/>
    <w:rsid w:val="00C73F32"/>
    <w:rsid w:val="00C83CBD"/>
    <w:rsid w:val="00C86B11"/>
    <w:rsid w:val="00C87462"/>
    <w:rsid w:val="00C97672"/>
    <w:rsid w:val="00CA180C"/>
    <w:rsid w:val="00CA3C58"/>
    <w:rsid w:val="00CA59BE"/>
    <w:rsid w:val="00CA67B7"/>
    <w:rsid w:val="00CB22B2"/>
    <w:rsid w:val="00CC1C50"/>
    <w:rsid w:val="00CC3EE2"/>
    <w:rsid w:val="00CD5084"/>
    <w:rsid w:val="00CD600F"/>
    <w:rsid w:val="00CD7492"/>
    <w:rsid w:val="00CE3A6B"/>
    <w:rsid w:val="00CF02EE"/>
    <w:rsid w:val="00CF3DD4"/>
    <w:rsid w:val="00D00211"/>
    <w:rsid w:val="00D006D1"/>
    <w:rsid w:val="00D025AE"/>
    <w:rsid w:val="00D06309"/>
    <w:rsid w:val="00D212F9"/>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41EC"/>
    <w:rsid w:val="00DC7A13"/>
    <w:rsid w:val="00DD0007"/>
    <w:rsid w:val="00DE7064"/>
    <w:rsid w:val="00DF22EB"/>
    <w:rsid w:val="00DF2997"/>
    <w:rsid w:val="00DF76C5"/>
    <w:rsid w:val="00E07762"/>
    <w:rsid w:val="00E07992"/>
    <w:rsid w:val="00E10BC4"/>
    <w:rsid w:val="00E1415D"/>
    <w:rsid w:val="00E213BD"/>
    <w:rsid w:val="00E225B6"/>
    <w:rsid w:val="00E323E9"/>
    <w:rsid w:val="00E32FB6"/>
    <w:rsid w:val="00E34018"/>
    <w:rsid w:val="00E36B1C"/>
    <w:rsid w:val="00E37ACE"/>
    <w:rsid w:val="00E42AE1"/>
    <w:rsid w:val="00E437D2"/>
    <w:rsid w:val="00E43BF9"/>
    <w:rsid w:val="00E449D7"/>
    <w:rsid w:val="00E47923"/>
    <w:rsid w:val="00E47BC6"/>
    <w:rsid w:val="00E47EF8"/>
    <w:rsid w:val="00E51930"/>
    <w:rsid w:val="00E55751"/>
    <w:rsid w:val="00E62948"/>
    <w:rsid w:val="00E629A9"/>
    <w:rsid w:val="00E63D3A"/>
    <w:rsid w:val="00E7398E"/>
    <w:rsid w:val="00E82B94"/>
    <w:rsid w:val="00EA2311"/>
    <w:rsid w:val="00EA36CA"/>
    <w:rsid w:val="00EA6133"/>
    <w:rsid w:val="00EB2606"/>
    <w:rsid w:val="00EC3491"/>
    <w:rsid w:val="00EC7BC3"/>
    <w:rsid w:val="00ED073B"/>
    <w:rsid w:val="00ED7600"/>
    <w:rsid w:val="00EE09A4"/>
    <w:rsid w:val="00EF6073"/>
    <w:rsid w:val="00EF698B"/>
    <w:rsid w:val="00F028B5"/>
    <w:rsid w:val="00F02FBB"/>
    <w:rsid w:val="00F053C4"/>
    <w:rsid w:val="00F1362C"/>
    <w:rsid w:val="00F16A15"/>
    <w:rsid w:val="00F20454"/>
    <w:rsid w:val="00F3251E"/>
    <w:rsid w:val="00F414F1"/>
    <w:rsid w:val="00F4446E"/>
    <w:rsid w:val="00F47EC0"/>
    <w:rsid w:val="00F508B8"/>
    <w:rsid w:val="00F5187B"/>
    <w:rsid w:val="00F61A16"/>
    <w:rsid w:val="00F70121"/>
    <w:rsid w:val="00F71E29"/>
    <w:rsid w:val="00F72CB1"/>
    <w:rsid w:val="00F74A4B"/>
    <w:rsid w:val="00F8215E"/>
    <w:rsid w:val="00F824F5"/>
    <w:rsid w:val="00F83EB8"/>
    <w:rsid w:val="00F90FAB"/>
    <w:rsid w:val="00F915A1"/>
    <w:rsid w:val="00F9374D"/>
    <w:rsid w:val="00F93751"/>
    <w:rsid w:val="00FA3179"/>
    <w:rsid w:val="00FA3BBF"/>
    <w:rsid w:val="00FC21FD"/>
    <w:rsid w:val="00FC29B9"/>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4"/>
      </w:numPr>
      <w:ind w:left="426"/>
    </w:pPr>
    <w:rPr>
      <w:lang w:val="en-US" w:eastAsia="ja-JP"/>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8"/>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styleId="ListNumber3">
    <w:name w:val="List Number 3"/>
    <w:basedOn w:val="Normal"/>
    <w:uiPriority w:val="99"/>
    <w:qFormat/>
    <w:rsid w:val="003324F7"/>
    <w:pPr>
      <w:numPr>
        <w:numId w:val="11"/>
      </w:numPr>
      <w:tabs>
        <w:tab w:val="clear" w:pos="720"/>
        <w:tab w:val="num" w:pos="926"/>
      </w:tabs>
      <w:overflowPunct w:val="0"/>
      <w:autoSpaceDE w:val="0"/>
      <w:autoSpaceDN w:val="0"/>
      <w:adjustRightInd w:val="0"/>
      <w:spacing w:after="180" w:line="240" w:lineRule="auto"/>
      <w:ind w:left="926"/>
      <w:textAlignment w:val="baseline"/>
    </w:pPr>
    <w:rPr>
      <w:rFonts w:cs="Times New Roman"/>
      <w:szCs w:val="20"/>
      <w:lang w:eastAsia="en-GB"/>
    </w:rPr>
  </w:style>
  <w:style w:type="paragraph" w:customStyle="1" w:styleId="B1">
    <w:name w:val="B1"/>
    <w:basedOn w:val="List"/>
    <w:link w:val="B1Char"/>
    <w:rsid w:val="00E629A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E629A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629A9"/>
    <w:pPr>
      <w:ind w:left="360" w:hanging="360"/>
      <w:contextualSpacing/>
    </w:pPr>
  </w:style>
  <w:style w:type="paragraph" w:styleId="BodyText">
    <w:name w:val="Body Text"/>
    <w:basedOn w:val="Normal"/>
    <w:link w:val="BodyTextChar"/>
    <w:rsid w:val="00175518"/>
    <w:pPr>
      <w:spacing w:after="120"/>
      <w:jc w:val="both"/>
    </w:pPr>
    <w:rPr>
      <w:rFonts w:ascii="Arial" w:eastAsiaTheme="minorHAnsi" w:hAnsi="Arial"/>
      <w:lang w:val="en-US" w:eastAsia="zh-CN"/>
    </w:rPr>
  </w:style>
  <w:style w:type="character" w:customStyle="1" w:styleId="BodyTextChar">
    <w:name w:val="Body Text Char"/>
    <w:basedOn w:val="DefaultParagraphFont"/>
    <w:link w:val="BodyText"/>
    <w:rsid w:val="00175518"/>
    <w:rPr>
      <w:rFonts w:ascii="Arial" w:eastAsiaTheme="minorHAnsi" w:hAnsi="Arial"/>
      <w:sz w:val="20"/>
      <w:lang w:eastAsia="zh-CN"/>
    </w:rPr>
  </w:style>
  <w:style w:type="paragraph" w:styleId="Revision">
    <w:name w:val="Revision"/>
    <w:hidden/>
    <w:uiPriority w:val="99"/>
    <w:semiHidden/>
    <w:rsid w:val="00EC349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RBI5PAMIO524-1616901215-33841</_dlc_DocId>
    <HideFromDelve xmlns="71c5aaf6-e6ce-465b-b873-5148d2a4c105">false</HideFromDelve>
    <_dlc_DocIdUrl xmlns="71c5aaf6-e6ce-465b-b873-5148d2a4c105">
      <Url>https://nokia.sharepoint.com/sites/gxp/_layouts/15/DocIdRedir.aspx?ID=RBI5PAMIO524-1616901215-33841</Url>
      <Description>RBI5PAMIO524-1616901215-33841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0</TotalTime>
  <Pages>4</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dc:description/>
  <cp:lastModifiedBy>Hisashi Onozawa (Nokia)</cp:lastModifiedBy>
  <cp:revision>4</cp:revision>
  <dcterms:created xsi:type="dcterms:W3CDTF">2024-11-08T05:34:00Z</dcterms:created>
  <dcterms:modified xsi:type="dcterms:W3CDTF">2024-11-08T13:22:00Z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0c61a1e7-e290-40dd-95f0-8a54991c5ffe</vt:lpwstr>
  </property>
</Properties>
</file>